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1674" w:rsidRPr="00D06AE8" w:rsidRDefault="00021674" w:rsidP="00021674">
      <w:pPr>
        <w:shd w:val="clear" w:color="auto" w:fill="FFFFFF"/>
        <w:jc w:val="center"/>
        <w:rPr>
          <w:b/>
          <w:bCs/>
        </w:rPr>
      </w:pPr>
      <w:bookmarkStart w:id="0" w:name="_GoBack"/>
      <w:bookmarkEnd w:id="0"/>
      <w:r w:rsidRPr="00D06AE8">
        <w:rPr>
          <w:b/>
          <w:bCs/>
        </w:rPr>
        <w:t xml:space="preserve">LĪGUMS Nr. </w:t>
      </w:r>
      <w:r w:rsidR="0052698D" w:rsidRPr="00D06AE8">
        <w:rPr>
          <w:b/>
          <w:bCs/>
        </w:rPr>
        <w:t>4.1-1/7</w:t>
      </w:r>
    </w:p>
    <w:p w:rsidR="00021674" w:rsidRPr="00D06AE8" w:rsidRDefault="00021674" w:rsidP="00021674">
      <w:pPr>
        <w:shd w:val="clear" w:color="auto" w:fill="FFFFFF"/>
        <w:jc w:val="center"/>
        <w:rPr>
          <w:b/>
          <w:bCs/>
        </w:rPr>
      </w:pPr>
      <w:r w:rsidRPr="00D06AE8">
        <w:rPr>
          <w:b/>
        </w:rPr>
        <w:t>Par darbinieku veselības apdrošināšanas polišu iegādi</w:t>
      </w:r>
    </w:p>
    <w:p w:rsidR="00021674" w:rsidRPr="00D06AE8" w:rsidRDefault="00021674" w:rsidP="00021674">
      <w:pPr>
        <w:shd w:val="clear" w:color="auto" w:fill="FFFFFF"/>
      </w:pPr>
    </w:p>
    <w:p w:rsidR="00021674" w:rsidRPr="00D06AE8" w:rsidRDefault="00021674" w:rsidP="00021674">
      <w:pPr>
        <w:shd w:val="clear" w:color="auto" w:fill="FFFFFF"/>
      </w:pPr>
    </w:p>
    <w:p w:rsidR="00021674" w:rsidRPr="00D06AE8" w:rsidRDefault="00021674" w:rsidP="00021674">
      <w:pPr>
        <w:shd w:val="clear" w:color="auto" w:fill="FFFFFF"/>
      </w:pPr>
      <w:r w:rsidRPr="00D06AE8">
        <w:t>Rīgā</w:t>
      </w:r>
      <w:r w:rsidRPr="00D06AE8">
        <w:tab/>
      </w:r>
      <w:r w:rsidRPr="00D06AE8">
        <w:tab/>
      </w:r>
      <w:r w:rsidRPr="00D06AE8">
        <w:tab/>
      </w:r>
      <w:r w:rsidRPr="00D06AE8">
        <w:tab/>
      </w:r>
      <w:r w:rsidRPr="00D06AE8">
        <w:tab/>
      </w:r>
      <w:r w:rsidRPr="00D06AE8">
        <w:tab/>
      </w:r>
      <w:r w:rsidRPr="00D06AE8">
        <w:tab/>
      </w:r>
      <w:r w:rsidRPr="00D06AE8">
        <w:tab/>
      </w:r>
      <w:r w:rsidRPr="00D06AE8">
        <w:tab/>
      </w:r>
      <w:r w:rsidRPr="00D06AE8">
        <w:tab/>
      </w:r>
      <w:r w:rsidR="0052698D" w:rsidRPr="00D06AE8">
        <w:t>09</w:t>
      </w:r>
      <w:r w:rsidR="003311A9" w:rsidRPr="00D06AE8">
        <w:t>.06.2016.</w:t>
      </w:r>
    </w:p>
    <w:p w:rsidR="00021674" w:rsidRPr="00D06AE8" w:rsidRDefault="00021674" w:rsidP="00021674">
      <w:pPr>
        <w:shd w:val="clear" w:color="auto" w:fill="FFFFFF"/>
      </w:pPr>
    </w:p>
    <w:p w:rsidR="00021674" w:rsidRPr="00D06AE8" w:rsidRDefault="00021674" w:rsidP="00021674">
      <w:pPr>
        <w:shd w:val="clear" w:color="auto" w:fill="FFFFFF"/>
      </w:pPr>
    </w:p>
    <w:p w:rsidR="00021674" w:rsidRPr="00D06AE8" w:rsidRDefault="00021674" w:rsidP="00021674">
      <w:pPr>
        <w:shd w:val="clear" w:color="auto" w:fill="FFFFFF"/>
        <w:autoSpaceDE w:val="0"/>
        <w:autoSpaceDN w:val="0"/>
        <w:adjustRightInd w:val="0"/>
        <w:spacing w:after="120"/>
        <w:jc w:val="both"/>
        <w:rPr>
          <w:lang w:eastAsia="lv-LV"/>
        </w:rPr>
      </w:pPr>
      <w:r w:rsidRPr="00D06AE8">
        <w:rPr>
          <w:b/>
          <w:color w:val="000000"/>
          <w:lang w:eastAsia="lv-LV"/>
        </w:rPr>
        <w:t>Pārresoru koordinācijas centrs</w:t>
      </w:r>
      <w:r w:rsidRPr="00D06AE8">
        <w:rPr>
          <w:color w:val="000000"/>
          <w:lang w:eastAsia="lv-LV"/>
        </w:rPr>
        <w:t xml:space="preserve"> (reģistrācijas numurs: </w:t>
      </w:r>
      <w:r w:rsidRPr="00D06AE8">
        <w:t>90009682011</w:t>
      </w:r>
      <w:r w:rsidRPr="00D06AE8">
        <w:rPr>
          <w:color w:val="000000"/>
          <w:lang w:eastAsia="lv-LV"/>
        </w:rPr>
        <w:t xml:space="preserve">, adrese: Brīvības bulvārī 36, Rīgā, LV-1520) tās vadītāja Pētera Vilka personā, kas rīkojas saskaņā ar </w:t>
      </w:r>
      <w:r w:rsidRPr="00D06AE8">
        <w:t xml:space="preserve">Ministru kabineta </w:t>
      </w:r>
      <w:r w:rsidR="00476A75" w:rsidRPr="00D06AE8">
        <w:t>2011. gada</w:t>
      </w:r>
      <w:r w:rsidRPr="00D06AE8">
        <w:t xml:space="preserve"> </w:t>
      </w:r>
      <w:r w:rsidR="00476A75" w:rsidRPr="00D06AE8">
        <w:t>19. oktobra</w:t>
      </w:r>
      <w:r w:rsidRPr="00D06AE8">
        <w:t xml:space="preserve"> noteikumiem Nr.815 „Pārresoru koordinācijas centra nolikums”</w:t>
      </w:r>
      <w:r w:rsidRPr="00D06AE8">
        <w:rPr>
          <w:color w:val="000000"/>
          <w:lang w:eastAsia="lv-LV"/>
        </w:rPr>
        <w:t xml:space="preserve"> (turpmāk – Pasūtītājs), no vienas puses, un </w:t>
      </w:r>
    </w:p>
    <w:p w:rsidR="00021674" w:rsidRPr="00D06AE8" w:rsidRDefault="003311A9" w:rsidP="00021674">
      <w:pPr>
        <w:shd w:val="clear" w:color="auto" w:fill="FFFFFF"/>
        <w:autoSpaceDE w:val="0"/>
        <w:autoSpaceDN w:val="0"/>
        <w:adjustRightInd w:val="0"/>
        <w:spacing w:after="120"/>
        <w:jc w:val="both"/>
        <w:rPr>
          <w:bCs/>
        </w:rPr>
      </w:pPr>
      <w:r w:rsidRPr="00D06AE8">
        <w:rPr>
          <w:b/>
          <w:noProof/>
        </w:rPr>
        <w:t xml:space="preserve">Compensa Life Vienna Insurance Group SE </w:t>
      </w:r>
      <w:r w:rsidRPr="00D06AE8">
        <w:rPr>
          <w:noProof/>
        </w:rPr>
        <w:t>(reģistrēta Igaunijas Republikas juridisko personu reģistrā ar reģistrācijas Nr.10055769, juridiskā adrese Igaunija, Tallina 10119 Roosikrantsi 11), kuras vārdā Latvijas Republikā darbojas</w:t>
      </w:r>
      <w:r w:rsidRPr="00D06AE8">
        <w:t xml:space="preserve"> </w:t>
      </w:r>
      <w:r w:rsidRPr="00D06AE8">
        <w:rPr>
          <w:b/>
          <w:noProof/>
        </w:rPr>
        <w:t xml:space="preserve">Compensa Life Vienna Insurance Group SE Latvijas filiāle </w:t>
      </w:r>
      <w:r w:rsidRPr="00D06AE8">
        <w:rPr>
          <w:noProof/>
        </w:rPr>
        <w:t>(reģistrēta Latvijas Republikas Komercreģistrā ar vienoto reģistrācijas Nr.50003958651, juridiskā adrese Vienības gatve 87h, Rīga, LV – 1004), turpmāk tekstā – Apdrošinātājs, kuru uz filiāles nolikuma pamata pārstāv filiāles vadītājs Viktors Gustsons</w:t>
      </w:r>
      <w:r w:rsidR="00021674" w:rsidRPr="00D06AE8">
        <w:rPr>
          <w:bCs/>
        </w:rPr>
        <w:t>, no otras puses,</w:t>
      </w:r>
    </w:p>
    <w:p w:rsidR="00021674" w:rsidRPr="00D06AE8" w:rsidRDefault="00021674" w:rsidP="00021674">
      <w:pPr>
        <w:shd w:val="clear" w:color="auto" w:fill="FFFFFF"/>
        <w:autoSpaceDE w:val="0"/>
        <w:autoSpaceDN w:val="0"/>
        <w:adjustRightInd w:val="0"/>
        <w:spacing w:after="120"/>
        <w:jc w:val="both"/>
      </w:pPr>
      <w:r w:rsidRPr="00D06AE8">
        <w:t>abi kopā vai atsevišķi (turpmāk – Puses vai Puse), pamatojoties uz publiskā iepirkuma, kas tik</w:t>
      </w:r>
      <w:r w:rsidR="00E52BE1" w:rsidRPr="00D06AE8">
        <w:t>a</w:t>
      </w:r>
      <w:r w:rsidRPr="00D06AE8">
        <w:t xml:space="preserve"> veikts, piemērojot Publisko iepirkumu likuma 8.</w:t>
      </w:r>
      <w:r w:rsidRPr="00D06AE8">
        <w:rPr>
          <w:vertAlign w:val="superscript"/>
        </w:rPr>
        <w:t>2</w:t>
      </w:r>
      <w:r w:rsidRPr="00D06AE8">
        <w:t xml:space="preserve"> pantu, "Darbinieku veselības apdrošināšanas polišu iegādi" Nr. 2016/PKC-20 (pakalpojuma </w:t>
      </w:r>
      <w:r w:rsidRPr="00D06AE8">
        <w:rPr>
          <w:bCs/>
        </w:rPr>
        <w:t xml:space="preserve">CPV kods: </w:t>
      </w:r>
      <w:r w:rsidRPr="00D06AE8">
        <w:t>66512200-4</w:t>
      </w:r>
      <w:r w:rsidRPr="00D06AE8">
        <w:rPr>
          <w:color w:val="000000"/>
        </w:rPr>
        <w:t xml:space="preserve"> "</w:t>
      </w:r>
      <w:r w:rsidRPr="00D06AE8">
        <w:t>Veselības apdrošināšanas pakalpojumi</w:t>
      </w:r>
      <w:r w:rsidRPr="00D06AE8">
        <w:rPr>
          <w:color w:val="000000"/>
        </w:rPr>
        <w:t>" (6. kategorija)</w:t>
      </w:r>
      <w:r w:rsidRPr="00D06AE8">
        <w:t>) (turpmāk – iepirkums) rezultātiem, noslēdz šādu līgumu (turpmāk – Līgums):</w:t>
      </w:r>
    </w:p>
    <w:p w:rsidR="00021674" w:rsidRPr="00D06AE8" w:rsidRDefault="00021674" w:rsidP="00021674">
      <w:pPr>
        <w:shd w:val="clear" w:color="auto" w:fill="FFFFFF"/>
      </w:pPr>
    </w:p>
    <w:p w:rsidR="00021674" w:rsidRPr="00D06AE8" w:rsidRDefault="00021674" w:rsidP="00021674">
      <w:pPr>
        <w:numPr>
          <w:ilvl w:val="0"/>
          <w:numId w:val="1"/>
        </w:numPr>
        <w:tabs>
          <w:tab w:val="clear" w:pos="360"/>
          <w:tab w:val="num" w:pos="720"/>
        </w:tabs>
        <w:suppressAutoHyphens/>
        <w:spacing w:after="240"/>
        <w:ind w:left="0" w:firstLine="0"/>
        <w:jc w:val="center"/>
        <w:rPr>
          <w:b/>
          <w:bCs/>
        </w:rPr>
      </w:pPr>
      <w:r w:rsidRPr="00D06AE8">
        <w:rPr>
          <w:b/>
          <w:bCs/>
        </w:rPr>
        <w:t>Līguma priekšmets un darbības termiņš</w:t>
      </w:r>
    </w:p>
    <w:p w:rsidR="00021674" w:rsidRPr="00D06AE8" w:rsidRDefault="00021674" w:rsidP="00021674">
      <w:pPr>
        <w:numPr>
          <w:ilvl w:val="1"/>
          <w:numId w:val="2"/>
        </w:numPr>
        <w:shd w:val="clear" w:color="auto" w:fill="FFFFFF"/>
        <w:tabs>
          <w:tab w:val="left" w:pos="851"/>
        </w:tabs>
        <w:spacing w:after="120"/>
        <w:ind w:left="851" w:hanging="851"/>
        <w:jc w:val="both"/>
      </w:pPr>
      <w:r w:rsidRPr="00D06AE8">
        <w:t>Pasūtītājs apdrošina savu darbinieku, darbinieku radinieku un ģimenes locekļu (turpmāk kopā sauktas – apdrošinātās personas) veselību saskaņā ar iepirkuma dokumentāciju</w:t>
      </w:r>
      <w:r w:rsidR="00825093" w:rsidRPr="00D06AE8">
        <w:t xml:space="preserve">, </w:t>
      </w:r>
      <w:r w:rsidR="00120703" w:rsidRPr="00D06AE8">
        <w:rPr>
          <w:noProof/>
        </w:rPr>
        <w:t>Apdrošinātāj</w:t>
      </w:r>
      <w:r w:rsidRPr="00D06AE8">
        <w:t>a iesniegto tehnisko un finanšu piedāvājumu (pielikums Nr. 1) (turpmāk – apdrošināšanas pakalpojums)</w:t>
      </w:r>
      <w:r w:rsidR="00825093" w:rsidRPr="00D06AE8">
        <w:t xml:space="preserve"> un </w:t>
      </w:r>
      <w:r w:rsidR="00825093" w:rsidRPr="00D06AE8">
        <w:rPr>
          <w:noProof/>
        </w:rPr>
        <w:t>veselības apdrošināšanas polisi Nr. __________________, (turpmāk – Polise) (kas pievienota Līgumam kā 1.pielikums</w:t>
      </w:r>
      <w:r w:rsidR="00520833" w:rsidRPr="00D06AE8">
        <w:rPr>
          <w:noProof/>
        </w:rPr>
        <w:t>).</w:t>
      </w:r>
    </w:p>
    <w:p w:rsidR="00021674" w:rsidRPr="00D06AE8" w:rsidRDefault="00021674" w:rsidP="00021674">
      <w:pPr>
        <w:numPr>
          <w:ilvl w:val="1"/>
          <w:numId w:val="2"/>
        </w:numPr>
        <w:tabs>
          <w:tab w:val="num" w:pos="851"/>
          <w:tab w:val="center" w:pos="10796"/>
        </w:tabs>
        <w:suppressAutoHyphens/>
        <w:autoSpaceDE w:val="0"/>
        <w:spacing w:after="120"/>
        <w:ind w:left="851" w:hanging="851"/>
        <w:jc w:val="both"/>
      </w:pPr>
      <w:r w:rsidRPr="00D06AE8">
        <w:t>Veselības apdrošināšanas darbības termiņš ir 12 (divpadsmit) mēneši (no 2016. gada 11. jūnija līdz 2017.gada 10.jūnijam). Līgums stājas spēkā ar tā abpusējas parakstīšanas dienu un ir spēkā līdz saistību pilnīgai izpildei.</w:t>
      </w:r>
    </w:p>
    <w:p w:rsidR="00021674" w:rsidRPr="00D06AE8" w:rsidRDefault="00021674" w:rsidP="00021674">
      <w:pPr>
        <w:numPr>
          <w:ilvl w:val="1"/>
          <w:numId w:val="2"/>
        </w:numPr>
        <w:tabs>
          <w:tab w:val="num" w:pos="851"/>
          <w:tab w:val="center" w:pos="10796"/>
        </w:tabs>
        <w:suppressAutoHyphens/>
        <w:autoSpaceDE w:val="0"/>
        <w:spacing w:after="120"/>
        <w:ind w:left="851" w:hanging="851"/>
        <w:jc w:val="both"/>
      </w:pPr>
      <w:r w:rsidRPr="00D06AE8">
        <w:t>Līguma darbības vieta ir Latvijas Republika.</w:t>
      </w:r>
    </w:p>
    <w:p w:rsidR="00021674" w:rsidRPr="00D06AE8" w:rsidRDefault="00021674" w:rsidP="00021674">
      <w:pPr>
        <w:pStyle w:val="Heading2"/>
        <w:numPr>
          <w:ilvl w:val="0"/>
          <w:numId w:val="2"/>
        </w:numPr>
        <w:suppressAutoHyphens/>
        <w:autoSpaceDE w:val="0"/>
        <w:spacing w:before="120" w:after="240"/>
        <w:ind w:left="357" w:hanging="357"/>
        <w:rPr>
          <w:b/>
          <w:bCs/>
          <w:sz w:val="24"/>
        </w:rPr>
      </w:pPr>
      <w:r w:rsidRPr="00D06AE8">
        <w:rPr>
          <w:b/>
          <w:bCs/>
          <w:sz w:val="24"/>
        </w:rPr>
        <w:t>Apdrošinājuma summas un limiti</w:t>
      </w:r>
    </w:p>
    <w:p w:rsidR="00021674" w:rsidRPr="00D06AE8" w:rsidRDefault="00021674" w:rsidP="00021674">
      <w:pPr>
        <w:numPr>
          <w:ilvl w:val="1"/>
          <w:numId w:val="2"/>
        </w:numPr>
        <w:tabs>
          <w:tab w:val="num" w:pos="851"/>
        </w:tabs>
        <w:suppressAutoHyphens/>
        <w:autoSpaceDE w:val="0"/>
        <w:spacing w:before="120" w:after="120"/>
        <w:ind w:left="851" w:hanging="851"/>
        <w:jc w:val="both"/>
      </w:pPr>
      <w:r w:rsidRPr="00D06AE8">
        <w:t xml:space="preserve">Kopējā apdrošinājuma summa visam apdrošināšanas periodam vienam Pasūtītāja darbiniekam ir </w:t>
      </w:r>
      <w:r w:rsidR="00520833" w:rsidRPr="00D06AE8">
        <w:t>2</w:t>
      </w:r>
      <w:r w:rsidR="00F522D5" w:rsidRPr="00D06AE8">
        <w:t>000</w:t>
      </w:r>
      <w:r w:rsidR="00520833" w:rsidRPr="00D06AE8">
        <w:t>,00</w:t>
      </w:r>
      <w:r w:rsidRPr="00D06AE8">
        <w:t xml:space="preserve"> EUR </w:t>
      </w:r>
      <w:r w:rsidR="00520833" w:rsidRPr="00D06AE8">
        <w:t xml:space="preserve">(divi </w:t>
      </w:r>
      <w:r w:rsidR="00F522D5" w:rsidRPr="00D06AE8">
        <w:t>tūkstoši</w:t>
      </w:r>
      <w:r w:rsidR="00520833" w:rsidRPr="00D06AE8">
        <w:t xml:space="preserve"> eiro 00 centi</w:t>
      </w:r>
      <w:r w:rsidRPr="00D06AE8">
        <w:t>).</w:t>
      </w:r>
    </w:p>
    <w:p w:rsidR="00021674" w:rsidRPr="00D06AE8" w:rsidRDefault="00021674" w:rsidP="00021674">
      <w:pPr>
        <w:pStyle w:val="Heading2"/>
        <w:numPr>
          <w:ilvl w:val="0"/>
          <w:numId w:val="2"/>
        </w:numPr>
        <w:suppressAutoHyphens/>
        <w:autoSpaceDE w:val="0"/>
        <w:spacing w:after="240"/>
        <w:ind w:left="357" w:hanging="357"/>
        <w:rPr>
          <w:b/>
          <w:bCs/>
          <w:sz w:val="24"/>
        </w:rPr>
      </w:pPr>
      <w:r w:rsidRPr="00D06AE8">
        <w:rPr>
          <w:b/>
          <w:bCs/>
          <w:sz w:val="24"/>
        </w:rPr>
        <w:t>Līgumcena un norēķinu kārtība</w:t>
      </w:r>
    </w:p>
    <w:p w:rsidR="00021674" w:rsidRPr="00D06AE8" w:rsidRDefault="00021674" w:rsidP="00021674">
      <w:pPr>
        <w:numPr>
          <w:ilvl w:val="1"/>
          <w:numId w:val="2"/>
        </w:numPr>
        <w:tabs>
          <w:tab w:val="num" w:pos="851"/>
        </w:tabs>
        <w:suppressAutoHyphens/>
        <w:autoSpaceDE w:val="0"/>
        <w:spacing w:after="120"/>
        <w:ind w:left="851" w:hanging="851"/>
        <w:jc w:val="both"/>
      </w:pPr>
      <w:r w:rsidRPr="00D06AE8">
        <w:t xml:space="preserve">Līguma kopēja summa nepārsniedz </w:t>
      </w:r>
      <w:r w:rsidR="00F522D5" w:rsidRPr="00D06AE8">
        <w:t>5088,00</w:t>
      </w:r>
      <w:r w:rsidRPr="00D06AE8">
        <w:t xml:space="preserve"> EUR </w:t>
      </w:r>
      <w:r w:rsidR="00F522D5" w:rsidRPr="00D06AE8">
        <w:t>pieci tūkstoši astoņdesmit astoņu eiro 00 centi</w:t>
      </w:r>
      <w:r w:rsidRPr="00D06AE8">
        <w:t xml:space="preserve">), tajā skaitā visi normatīvajos aktos noteiktie nodokļi. Līguma kopējo summu veido visu Līguma darbības laikā Pasūtītāja iegādāto veselības apdrošināšanas polišu cena kopā, ņemot vērā iespējamās korekcijas, ko varētu radīt darbinieku skaita mainība. Līguma kopējā summā iekļautas visas izmaksas, kas </w:t>
      </w:r>
      <w:r w:rsidRPr="00D06AE8">
        <w:lastRenderedPageBreak/>
        <w:t xml:space="preserve">saistītas ar apdrošināšanas pakalpojuma sniegšanu, tajā skaitā, bet ne tikai, personāla izmaksas, nodokļi, kā arī visas ar tehniskajā specifikācijā noteikto prasību izpildi netieši saistītās izmaksas (Veselības apdrošināšanas karšu (turpmāk – kartes) sagatavošana, administratīvās izmaksas, transporta pakalpojumi u.c.) līdz Līguma izpildei. </w:t>
      </w:r>
      <w:r w:rsidR="00911353" w:rsidRPr="00D06AE8">
        <w:t>Līguma kopējā summā neietilpst Apdrošinātāj</w:t>
      </w:r>
      <w:r w:rsidR="00911353" w:rsidRPr="00D06AE8">
        <w:rPr>
          <w:bCs/>
        </w:rPr>
        <w:t>a</w:t>
      </w:r>
      <w:r w:rsidR="00911353" w:rsidRPr="00D06AE8">
        <w:t xml:space="preserve"> piedāvājumā norādīto augstāka līmeņa apdrošināšanas programmu vai papildprogrammu iegādes summa, ko Pasūtītāja darbinieki iegādājas, samaksājot no personīgajiem līdzekļiem un Pasūtītājam esot kā starpniekam. </w:t>
      </w:r>
      <w:r w:rsidR="00BA0BF6" w:rsidRPr="00D06AE8">
        <w:t>Apdrošinātāj</w:t>
      </w:r>
      <w:r w:rsidRPr="00D06AE8">
        <w:t xml:space="preserve">am nav tiesību pieprasīt papildu samaksu par jebkādām citām tā veiktajām izmaksām. </w:t>
      </w:r>
    </w:p>
    <w:p w:rsidR="00021674" w:rsidRPr="00D06AE8" w:rsidRDefault="00021674" w:rsidP="00021674">
      <w:pPr>
        <w:numPr>
          <w:ilvl w:val="1"/>
          <w:numId w:val="2"/>
        </w:numPr>
        <w:tabs>
          <w:tab w:val="num" w:pos="851"/>
        </w:tabs>
        <w:suppressAutoHyphens/>
        <w:autoSpaceDE w:val="0"/>
        <w:spacing w:after="120"/>
        <w:ind w:left="851" w:hanging="851"/>
        <w:jc w:val="both"/>
      </w:pPr>
      <w:r w:rsidRPr="00D06AE8">
        <w:t xml:space="preserve">Veselības apdrošināšanas polises cena visam apdrošināšanas periodam vienam Pasūtītāja darbiniekam ir </w:t>
      </w:r>
      <w:r w:rsidR="00520833" w:rsidRPr="00D06AE8">
        <w:t>212,00 EUR (divi simti divpadsmit eiro 00 centi)</w:t>
      </w:r>
      <w:r w:rsidRPr="00D06AE8">
        <w:t>.</w:t>
      </w:r>
    </w:p>
    <w:p w:rsidR="00021674" w:rsidRPr="00D06AE8" w:rsidRDefault="00021674" w:rsidP="00021674">
      <w:pPr>
        <w:numPr>
          <w:ilvl w:val="1"/>
          <w:numId w:val="2"/>
        </w:numPr>
        <w:tabs>
          <w:tab w:val="num" w:pos="851"/>
        </w:tabs>
        <w:suppressAutoHyphens/>
        <w:autoSpaceDE w:val="0"/>
        <w:spacing w:after="120"/>
        <w:ind w:left="851" w:hanging="851"/>
        <w:jc w:val="both"/>
      </w:pPr>
      <w:r w:rsidRPr="00D06AE8">
        <w:t xml:space="preserve">Apdrošināšanas pakalpojumu nodrošināšanas nosacījumus Līguma darbības laikā </w:t>
      </w:r>
      <w:r w:rsidR="00120703" w:rsidRPr="00D06AE8">
        <w:rPr>
          <w:noProof/>
        </w:rPr>
        <w:t>Apdrošinātājs</w:t>
      </w:r>
      <w:r w:rsidRPr="00D06AE8">
        <w:t xml:space="preserve"> mainīt nedrīkst.</w:t>
      </w:r>
    </w:p>
    <w:p w:rsidR="00021674" w:rsidRPr="00D06AE8" w:rsidRDefault="00021674" w:rsidP="00021674">
      <w:pPr>
        <w:numPr>
          <w:ilvl w:val="1"/>
          <w:numId w:val="2"/>
        </w:numPr>
        <w:tabs>
          <w:tab w:val="num" w:pos="851"/>
        </w:tabs>
        <w:suppressAutoHyphens/>
        <w:autoSpaceDE w:val="0"/>
        <w:spacing w:after="120"/>
        <w:ind w:left="851" w:hanging="851"/>
        <w:jc w:val="both"/>
      </w:pPr>
      <w:r w:rsidRPr="00D06AE8">
        <w:t xml:space="preserve">Pasūtītājs samaksu par veselības apdrošināšanas polišu iegādi veic 1 (vienā) maksājumā saskaņā ar </w:t>
      </w:r>
      <w:r w:rsidR="00BA0BF6" w:rsidRPr="00D06AE8">
        <w:t>Apdrošinātāj</w:t>
      </w:r>
      <w:r w:rsidRPr="00D06AE8">
        <w:t xml:space="preserve">a iesniegto rēķinu ne vēlāk kā </w:t>
      </w:r>
      <w:r w:rsidR="00F522D5" w:rsidRPr="00D06AE8">
        <w:t>10</w:t>
      </w:r>
      <w:r w:rsidRPr="00D06AE8">
        <w:t xml:space="preserve"> (</w:t>
      </w:r>
      <w:r w:rsidR="00F522D5" w:rsidRPr="00D06AE8">
        <w:t>desmit</w:t>
      </w:r>
      <w:r w:rsidRPr="00D06AE8">
        <w:t xml:space="preserve">) darbdienu laikā no </w:t>
      </w:r>
      <w:r w:rsidR="00BA0BF6" w:rsidRPr="00D06AE8">
        <w:t>Apdrošinātāj</w:t>
      </w:r>
      <w:r w:rsidRPr="00D06AE8">
        <w:t xml:space="preserve">a rēķina iesniegšanas Pasūtītājam, pārskaitot attiecīgo summu uz </w:t>
      </w:r>
      <w:r w:rsidR="00BA0BF6" w:rsidRPr="00D06AE8">
        <w:t>Apdrošinātāj</w:t>
      </w:r>
      <w:r w:rsidRPr="00D06AE8">
        <w:t>a rēķinā norādīto bankas kontu.</w:t>
      </w:r>
    </w:p>
    <w:p w:rsidR="00021674" w:rsidRPr="00D06AE8" w:rsidRDefault="00021674" w:rsidP="00021674">
      <w:pPr>
        <w:numPr>
          <w:ilvl w:val="1"/>
          <w:numId w:val="2"/>
        </w:numPr>
        <w:tabs>
          <w:tab w:val="num" w:pos="851"/>
        </w:tabs>
        <w:suppressAutoHyphens/>
        <w:autoSpaceDE w:val="0"/>
        <w:spacing w:after="120"/>
        <w:ind w:left="851" w:hanging="851"/>
        <w:jc w:val="both"/>
      </w:pPr>
      <w:r w:rsidRPr="00D06AE8">
        <w:t xml:space="preserve">Rēķina kopējā summa ir atbilstoša pieteikto apdrošināto Pasūtītāja </w:t>
      </w:r>
      <w:r w:rsidR="00F522D5" w:rsidRPr="00D06AE8">
        <w:t xml:space="preserve">darbinieku skaita </w:t>
      </w:r>
      <w:r w:rsidRPr="00D06AE8">
        <w:t>reizinā</w:t>
      </w:r>
      <w:r w:rsidR="00F522D5" w:rsidRPr="00D06AE8">
        <w:t>jumam</w:t>
      </w:r>
      <w:r w:rsidRPr="00D06AE8">
        <w:t xml:space="preserve"> ar </w:t>
      </w:r>
      <w:r w:rsidR="00F522D5" w:rsidRPr="00D06AE8">
        <w:t>a</w:t>
      </w:r>
      <w:r w:rsidRPr="00D06AE8">
        <w:t xml:space="preserve">pdrošināšanas prēmijas apmēru vienai personai (Darbiniekam). </w:t>
      </w:r>
    </w:p>
    <w:p w:rsidR="00021674" w:rsidRPr="00D06AE8" w:rsidRDefault="00021674" w:rsidP="00021674">
      <w:pPr>
        <w:numPr>
          <w:ilvl w:val="1"/>
          <w:numId w:val="2"/>
        </w:numPr>
        <w:tabs>
          <w:tab w:val="num" w:pos="851"/>
        </w:tabs>
        <w:suppressAutoHyphens/>
        <w:autoSpaceDE w:val="0"/>
        <w:spacing w:after="120"/>
        <w:ind w:left="851" w:hanging="851"/>
        <w:jc w:val="both"/>
      </w:pPr>
      <w:r w:rsidRPr="00D06AE8">
        <w:t xml:space="preserve">Līguma darbības laikā Pasūtītājam ir tiesības pasūtīt papildus apdrošināšanas pakalpojumus. </w:t>
      </w:r>
      <w:r w:rsidR="00120703" w:rsidRPr="00D06AE8">
        <w:rPr>
          <w:noProof/>
        </w:rPr>
        <w:t>Apdrošinātājs</w:t>
      </w:r>
      <w:r w:rsidRPr="00D06AE8">
        <w:t xml:space="preserve"> par papildus apdrošināšanas pakalpojumu sagatavo un iesniedz Pasūtītājam attiecīgu rēķinu, atbilstoši pieteikto apdrošināto Pasūtītāja darbinieku skaits reizināts ar Apdrošināšanas prēmijas apmēru vienai apdrošināmai personai (Darbiniekam).</w:t>
      </w:r>
    </w:p>
    <w:p w:rsidR="00021674" w:rsidRPr="00D06AE8" w:rsidRDefault="00021674" w:rsidP="00021674">
      <w:pPr>
        <w:pStyle w:val="Heading2"/>
        <w:numPr>
          <w:ilvl w:val="0"/>
          <w:numId w:val="2"/>
        </w:numPr>
        <w:tabs>
          <w:tab w:val="center" w:pos="1484"/>
        </w:tabs>
        <w:suppressAutoHyphens/>
        <w:autoSpaceDE w:val="0"/>
        <w:spacing w:after="240"/>
        <w:ind w:left="425" w:firstLine="709"/>
        <w:rPr>
          <w:b/>
          <w:bCs/>
          <w:sz w:val="24"/>
        </w:rPr>
      </w:pPr>
      <w:r w:rsidRPr="00D06AE8">
        <w:rPr>
          <w:b/>
          <w:bCs/>
          <w:sz w:val="24"/>
        </w:rPr>
        <w:t>Pušu tiesības, pienākumi un atbildība</w:t>
      </w:r>
    </w:p>
    <w:p w:rsidR="00021674" w:rsidRPr="00D06AE8" w:rsidRDefault="00021674" w:rsidP="00021674">
      <w:pPr>
        <w:numPr>
          <w:ilvl w:val="1"/>
          <w:numId w:val="2"/>
        </w:numPr>
        <w:tabs>
          <w:tab w:val="num" w:pos="851"/>
          <w:tab w:val="center" w:pos="10796"/>
        </w:tabs>
        <w:suppressAutoHyphens/>
        <w:autoSpaceDE w:val="0"/>
        <w:spacing w:after="120"/>
        <w:ind w:left="851" w:hanging="851"/>
        <w:jc w:val="both"/>
      </w:pPr>
      <w:r w:rsidRPr="00D06AE8">
        <w:t>Pasūtītājs apņemas:</w:t>
      </w:r>
    </w:p>
    <w:p w:rsidR="00021674" w:rsidRPr="00D06AE8" w:rsidRDefault="00021674" w:rsidP="00021674">
      <w:pPr>
        <w:numPr>
          <w:ilvl w:val="2"/>
          <w:numId w:val="2"/>
        </w:numPr>
        <w:tabs>
          <w:tab w:val="num" w:pos="1701"/>
        </w:tabs>
        <w:suppressAutoHyphens/>
        <w:autoSpaceDE w:val="0"/>
        <w:spacing w:after="120"/>
        <w:ind w:left="1701" w:hanging="850"/>
        <w:jc w:val="both"/>
      </w:pPr>
      <w:r w:rsidRPr="00D06AE8">
        <w:t>ievērot Līguma noteikumus;</w:t>
      </w:r>
    </w:p>
    <w:p w:rsidR="00021674" w:rsidRPr="00D06AE8" w:rsidRDefault="00021674" w:rsidP="00021674">
      <w:pPr>
        <w:numPr>
          <w:ilvl w:val="2"/>
          <w:numId w:val="2"/>
        </w:numPr>
        <w:tabs>
          <w:tab w:val="num" w:pos="1701"/>
        </w:tabs>
        <w:suppressAutoHyphens/>
        <w:autoSpaceDE w:val="0"/>
        <w:spacing w:after="120"/>
        <w:ind w:left="1701" w:hanging="850"/>
        <w:jc w:val="both"/>
      </w:pPr>
      <w:r w:rsidRPr="00D06AE8">
        <w:t>veikt samaksu par veselības apdrošināšanas polišu iegādi Līgumā noteiktajā kārtībā un termiņos;</w:t>
      </w:r>
    </w:p>
    <w:p w:rsidR="00021674" w:rsidRPr="00D06AE8" w:rsidRDefault="00021674" w:rsidP="00021674">
      <w:pPr>
        <w:numPr>
          <w:ilvl w:val="2"/>
          <w:numId w:val="2"/>
        </w:numPr>
        <w:tabs>
          <w:tab w:val="num" w:pos="1701"/>
        </w:tabs>
        <w:suppressAutoHyphens/>
        <w:autoSpaceDE w:val="0"/>
        <w:spacing w:after="120"/>
        <w:ind w:left="1701" w:hanging="850"/>
        <w:jc w:val="both"/>
      </w:pPr>
      <w:r w:rsidRPr="00D06AE8">
        <w:t>informēt apdrošināmo sarakstā minētos darbiniekus par to, ka viņi tiek apdrošināti un ar kādiem nosacījumiem viņi tiek apdrošināti;</w:t>
      </w:r>
    </w:p>
    <w:p w:rsidR="00021674" w:rsidRPr="00D06AE8" w:rsidRDefault="00021674" w:rsidP="00021674">
      <w:pPr>
        <w:numPr>
          <w:ilvl w:val="2"/>
          <w:numId w:val="2"/>
        </w:numPr>
        <w:tabs>
          <w:tab w:val="num" w:pos="1701"/>
        </w:tabs>
        <w:suppressAutoHyphens/>
        <w:autoSpaceDE w:val="0"/>
        <w:spacing w:after="120"/>
        <w:ind w:left="1701" w:hanging="850"/>
        <w:jc w:val="both"/>
        <w:rPr>
          <w:i/>
          <w:iCs/>
        </w:rPr>
      </w:pPr>
      <w:r w:rsidRPr="00D06AE8">
        <w:t xml:space="preserve">reizi mēnesī līdz </w:t>
      </w:r>
      <w:r w:rsidR="002B5149" w:rsidRPr="00D06AE8">
        <w:t>10.(desmitajam</w:t>
      </w:r>
      <w:r w:rsidRPr="00D06AE8">
        <w:t xml:space="preserve">) datumam informēt </w:t>
      </w:r>
      <w:r w:rsidR="00BA0BF6" w:rsidRPr="00D06AE8">
        <w:t>Apdrošinātāj</w:t>
      </w:r>
      <w:r w:rsidRPr="00D06AE8">
        <w:rPr>
          <w:bCs/>
        </w:rPr>
        <w:t>u</w:t>
      </w:r>
      <w:r w:rsidRPr="00D06AE8">
        <w:t xml:space="preserve"> par izmaiņu izdarīšanu apdrošināto personu sarakstā un papildprogrammu iegādi vai apdrošināšanas programmu paplašināšanu, nosūtot </w:t>
      </w:r>
      <w:r w:rsidR="00BA0BF6" w:rsidRPr="00D06AE8">
        <w:t>Apdrošinātāj</w:t>
      </w:r>
      <w:r w:rsidRPr="00D06AE8">
        <w:rPr>
          <w:bCs/>
        </w:rPr>
        <w:t>am</w:t>
      </w:r>
      <w:r w:rsidRPr="00D06AE8">
        <w:t xml:space="preserve"> aizpildītu pieteikumu par izmaiņu veikšanu apdrošināto personu sarakstā </w:t>
      </w:r>
      <w:r w:rsidRPr="00D06AE8">
        <w:rPr>
          <w:iCs/>
        </w:rPr>
        <w:t>(</w:t>
      </w:r>
      <w:r w:rsidR="002B5149" w:rsidRPr="00D06AE8">
        <w:t>Apdrošinātā</w:t>
      </w:r>
      <w:r w:rsidRPr="00D06AE8">
        <w:rPr>
          <w:bCs/>
        </w:rPr>
        <w:t>ja</w:t>
      </w:r>
      <w:r w:rsidRPr="00D06AE8">
        <w:rPr>
          <w:i/>
          <w:iCs/>
        </w:rPr>
        <w:t xml:space="preserve"> </w:t>
      </w:r>
      <w:r w:rsidRPr="00D06AE8">
        <w:rPr>
          <w:iCs/>
        </w:rPr>
        <w:t>noteiktajā veidā);</w:t>
      </w:r>
    </w:p>
    <w:p w:rsidR="00021674" w:rsidRPr="00D06AE8" w:rsidRDefault="00021674" w:rsidP="002B5149">
      <w:pPr>
        <w:numPr>
          <w:ilvl w:val="2"/>
          <w:numId w:val="2"/>
        </w:numPr>
        <w:tabs>
          <w:tab w:val="num" w:pos="1701"/>
        </w:tabs>
        <w:suppressAutoHyphens/>
        <w:autoSpaceDE w:val="0"/>
        <w:ind w:left="1701" w:hanging="850"/>
        <w:jc w:val="both"/>
      </w:pPr>
      <w:r w:rsidRPr="00D06AE8">
        <w:t xml:space="preserve">rakstiski informēt </w:t>
      </w:r>
      <w:r w:rsidR="002B5149" w:rsidRPr="00D06AE8">
        <w:t>Apdrošinātā</w:t>
      </w:r>
      <w:r w:rsidRPr="00D06AE8">
        <w:rPr>
          <w:bCs/>
        </w:rPr>
        <w:t>ju</w:t>
      </w:r>
      <w:r w:rsidRPr="00D06AE8">
        <w:t xml:space="preserve"> par Pasūtītāja darbinieku radiniekiem un ģimenes locekļiem, kuri veselību vēlas apdrošināt pie </w:t>
      </w:r>
      <w:r w:rsidR="00BA0BF6" w:rsidRPr="00D06AE8">
        <w:t>Apdrošinātāj</w:t>
      </w:r>
      <w:r w:rsidRPr="00D06AE8">
        <w:rPr>
          <w:bCs/>
        </w:rPr>
        <w:t>a</w:t>
      </w:r>
      <w:r w:rsidRPr="00D06AE8">
        <w:t>. Informācijā jānorāda:</w:t>
      </w:r>
    </w:p>
    <w:p w:rsidR="00021674" w:rsidRPr="00D06AE8" w:rsidRDefault="00021674" w:rsidP="002B5149">
      <w:pPr>
        <w:numPr>
          <w:ilvl w:val="3"/>
          <w:numId w:val="2"/>
        </w:numPr>
        <w:tabs>
          <w:tab w:val="num" w:pos="2835"/>
        </w:tabs>
        <w:suppressAutoHyphens/>
        <w:autoSpaceDE w:val="0"/>
        <w:ind w:left="2835" w:hanging="1134"/>
        <w:jc w:val="both"/>
      </w:pPr>
      <w:r w:rsidRPr="00D06AE8">
        <w:t xml:space="preserve">personas vārds, uzvārds, </w:t>
      </w:r>
      <w:r w:rsidR="00476A75" w:rsidRPr="00D06AE8">
        <w:t xml:space="preserve">apdrošinātā radinieka darbinieka vārds un uzvārds, piederība, </w:t>
      </w:r>
      <w:r w:rsidRPr="00D06AE8">
        <w:t>personas kods</w:t>
      </w:r>
      <w:r w:rsidR="00476A75" w:rsidRPr="00D06AE8">
        <w:t>, e-pasta adrese</w:t>
      </w:r>
      <w:r w:rsidRPr="00D06AE8">
        <w:t xml:space="preserve">; </w:t>
      </w:r>
    </w:p>
    <w:p w:rsidR="00021674" w:rsidRPr="00D06AE8" w:rsidRDefault="00021674" w:rsidP="00021674">
      <w:pPr>
        <w:numPr>
          <w:ilvl w:val="3"/>
          <w:numId w:val="2"/>
        </w:numPr>
        <w:tabs>
          <w:tab w:val="num" w:pos="2835"/>
        </w:tabs>
        <w:suppressAutoHyphens/>
        <w:autoSpaceDE w:val="0"/>
        <w:spacing w:after="120"/>
        <w:ind w:left="2835" w:hanging="1134"/>
        <w:jc w:val="both"/>
      </w:pPr>
      <w:r w:rsidRPr="00D06AE8">
        <w:t>apdrošināšanas programma/as, kādu /as tas vēlas iegādāties.</w:t>
      </w:r>
    </w:p>
    <w:p w:rsidR="00021674" w:rsidRPr="00D06AE8" w:rsidRDefault="00021674" w:rsidP="00021674">
      <w:pPr>
        <w:numPr>
          <w:ilvl w:val="2"/>
          <w:numId w:val="2"/>
        </w:numPr>
        <w:suppressAutoHyphens/>
        <w:autoSpaceDE w:val="0"/>
        <w:spacing w:after="120"/>
        <w:jc w:val="both"/>
      </w:pPr>
      <w:r w:rsidRPr="00D06AE8">
        <w:t xml:space="preserve">dienas iesniegt </w:t>
      </w:r>
      <w:r w:rsidR="00BA0BF6" w:rsidRPr="00D06AE8">
        <w:t>Apdrošinātāj</w:t>
      </w:r>
      <w:r w:rsidRPr="00D06AE8">
        <w:t>am karšu sagatavošanai nepieciešamo informāciju.</w:t>
      </w:r>
    </w:p>
    <w:p w:rsidR="00021674" w:rsidRPr="00D06AE8" w:rsidRDefault="00120703" w:rsidP="00021674">
      <w:pPr>
        <w:numPr>
          <w:ilvl w:val="1"/>
          <w:numId w:val="2"/>
        </w:numPr>
        <w:tabs>
          <w:tab w:val="num" w:pos="851"/>
          <w:tab w:val="center" w:pos="10796"/>
        </w:tabs>
        <w:suppressAutoHyphens/>
        <w:autoSpaceDE w:val="0"/>
        <w:spacing w:after="120"/>
        <w:ind w:left="851" w:hanging="851"/>
        <w:jc w:val="both"/>
      </w:pPr>
      <w:r w:rsidRPr="00D06AE8">
        <w:rPr>
          <w:noProof/>
        </w:rPr>
        <w:t>Apdrošinātājs</w:t>
      </w:r>
      <w:r w:rsidR="00021674" w:rsidRPr="00D06AE8">
        <w:t xml:space="preserve"> apņemas:</w:t>
      </w:r>
    </w:p>
    <w:p w:rsidR="00021674" w:rsidRPr="00D06AE8" w:rsidRDefault="00021674" w:rsidP="00021674">
      <w:pPr>
        <w:numPr>
          <w:ilvl w:val="2"/>
          <w:numId w:val="2"/>
        </w:numPr>
        <w:tabs>
          <w:tab w:val="num" w:pos="1701"/>
        </w:tabs>
        <w:suppressAutoHyphens/>
        <w:autoSpaceDE w:val="0"/>
        <w:spacing w:after="120"/>
        <w:ind w:left="1701" w:hanging="850"/>
        <w:jc w:val="both"/>
      </w:pPr>
      <w:r w:rsidRPr="00D06AE8">
        <w:lastRenderedPageBreak/>
        <w:t xml:space="preserve">izsniegt ne vēlāk kā 5 (piecu) darbdienu laikā no pieteikuma saņemšanas dienas Pasūtītājam darbinieku individuālās apdrošināšanas kartes, izvēlētās apdrošināšanas programmas aprakstu, atlīdzības saņemšanas kārtību. </w:t>
      </w:r>
      <w:r w:rsidR="00BA0BF6" w:rsidRPr="00D06AE8">
        <w:t>Apdrošinātāj</w:t>
      </w:r>
      <w:r w:rsidRPr="00D06AE8">
        <w:rPr>
          <w:bCs/>
        </w:rPr>
        <w:t>a</w:t>
      </w:r>
      <w:r w:rsidRPr="00D06AE8">
        <w:t xml:space="preserve"> līguma organizāciju saraksts katram apdrošinātajam ir pieejams </w:t>
      </w:r>
      <w:r w:rsidR="00903439" w:rsidRPr="00D06AE8">
        <w:t>Apdrošinātāj</w:t>
      </w:r>
      <w:r w:rsidRPr="00D06AE8">
        <w:rPr>
          <w:bCs/>
        </w:rPr>
        <w:t>a</w:t>
      </w:r>
      <w:r w:rsidRPr="00D06AE8">
        <w:t xml:space="preserve"> mājaslapā internetā </w:t>
      </w:r>
      <w:r w:rsidR="009B5933" w:rsidRPr="00D06AE8">
        <w:t>www.compensalife.lv</w:t>
      </w:r>
      <w:r w:rsidR="00761E75" w:rsidRPr="00D06AE8">
        <w:t>.</w:t>
      </w:r>
      <w:r w:rsidRPr="00D06AE8">
        <w:t xml:space="preserve"> Apdrošināšanas karte ir dokuments, kas apliecina, ka apdrošinātās personas labā ir noslēgts veselības apdrošināšanas līgums;</w:t>
      </w:r>
    </w:p>
    <w:p w:rsidR="00021674" w:rsidRPr="00D06AE8" w:rsidRDefault="00021674" w:rsidP="00021674">
      <w:pPr>
        <w:numPr>
          <w:ilvl w:val="2"/>
          <w:numId w:val="2"/>
        </w:numPr>
        <w:tabs>
          <w:tab w:val="num" w:pos="1701"/>
        </w:tabs>
        <w:suppressAutoHyphens/>
        <w:autoSpaceDE w:val="0"/>
        <w:spacing w:after="120"/>
        <w:ind w:left="1701" w:hanging="850"/>
        <w:jc w:val="both"/>
      </w:pPr>
      <w:r w:rsidRPr="00D06AE8">
        <w:t>maksāt apdrošināšanas atlīdzību veselības apdrošināšanas polisē un Līguma noteikumos minētajos gadījumos, apmēros un kārtībā;</w:t>
      </w:r>
    </w:p>
    <w:p w:rsidR="00021674" w:rsidRPr="00D06AE8" w:rsidRDefault="00021674" w:rsidP="00021674">
      <w:pPr>
        <w:numPr>
          <w:ilvl w:val="2"/>
          <w:numId w:val="2"/>
        </w:numPr>
        <w:tabs>
          <w:tab w:val="num" w:pos="1701"/>
        </w:tabs>
        <w:suppressAutoHyphens/>
        <w:autoSpaceDE w:val="0"/>
        <w:spacing w:after="120"/>
        <w:ind w:left="1701" w:hanging="850"/>
        <w:jc w:val="both"/>
      </w:pPr>
      <w:r w:rsidRPr="00D06AE8">
        <w:t xml:space="preserve">ne vēlāk kā </w:t>
      </w:r>
      <w:r w:rsidR="00761E75" w:rsidRPr="00D06AE8">
        <w:t>15</w:t>
      </w:r>
      <w:r w:rsidRPr="00D06AE8">
        <w:t xml:space="preserve"> </w:t>
      </w:r>
      <w:r w:rsidR="000B7DEC" w:rsidRPr="00D06AE8">
        <w:t>(</w:t>
      </w:r>
      <w:r w:rsidR="00761E75" w:rsidRPr="00D06AE8">
        <w:t>piecpadsmit</w:t>
      </w:r>
      <w:r w:rsidRPr="00D06AE8">
        <w:t xml:space="preserve">) dienu laikā izmaksāt atlīdzību apdrošinātajai personai pēc apmaksas apliecinošo dokumentu (kases aparāta čeka vai kvītis) un, ja nepieciešams, pakalpojumu pamatojošas medicīniskās dokumentācijas iesniegšanas </w:t>
      </w:r>
      <w:r w:rsidR="00BA0BF6" w:rsidRPr="00D06AE8">
        <w:t>Apdrošinātāj</w:t>
      </w:r>
      <w:r w:rsidRPr="00D06AE8">
        <w:rPr>
          <w:bCs/>
        </w:rPr>
        <w:t>am</w:t>
      </w:r>
      <w:r w:rsidRPr="00D06AE8">
        <w:t xml:space="preserve"> gadījumos, kad apdrošinātās personas saņem pakalpojumus ārstniecības iestādēs, kurām nav līguma ar </w:t>
      </w:r>
      <w:r w:rsidR="00BA0BF6" w:rsidRPr="00D06AE8">
        <w:t>Apdrošinātāj</w:t>
      </w:r>
      <w:r w:rsidRPr="00D06AE8">
        <w:rPr>
          <w:bCs/>
        </w:rPr>
        <w:t>u</w:t>
      </w:r>
      <w:r w:rsidRPr="00D06AE8">
        <w:t xml:space="preserve"> vai </w:t>
      </w:r>
      <w:r w:rsidRPr="00D06AE8">
        <w:rPr>
          <w:color w:val="000000"/>
        </w:rPr>
        <w:t>par atsevišķiem pakalpojumiem, kuru apmaksu paredz apdrošināšanas segums, bet kuri konkrētajā līguma iestādē nav iekļauti apmaksājamo pakalpojumu sarakstā</w:t>
      </w:r>
      <w:r w:rsidRPr="00D06AE8">
        <w:t>;</w:t>
      </w:r>
    </w:p>
    <w:p w:rsidR="00021674" w:rsidRPr="00D06AE8" w:rsidRDefault="00021674" w:rsidP="00021674">
      <w:pPr>
        <w:numPr>
          <w:ilvl w:val="2"/>
          <w:numId w:val="2"/>
        </w:numPr>
        <w:tabs>
          <w:tab w:val="num" w:pos="1701"/>
        </w:tabs>
        <w:suppressAutoHyphens/>
        <w:autoSpaceDE w:val="0"/>
        <w:spacing w:after="120"/>
        <w:ind w:left="1701" w:hanging="850"/>
        <w:jc w:val="both"/>
      </w:pPr>
      <w:r w:rsidRPr="00D06AE8">
        <w:rPr>
          <w:color w:val="000000"/>
        </w:rPr>
        <w:t xml:space="preserve">nodrošināt iespēju </w:t>
      </w:r>
      <w:r w:rsidRPr="00D06AE8">
        <w:t>Pasūtītājam</w:t>
      </w:r>
      <w:r w:rsidRPr="00D06AE8">
        <w:rPr>
          <w:color w:val="000000"/>
        </w:rPr>
        <w:t xml:space="preserve"> veikt izmaiņas apdrošināto personu sarakstā 1 (vienu) reizi mēnesī visa apdrošināšanas līguma (polises) darbības termiņa laikā, izslēdzot no tā darbiniekus un pievienojot jaunus uz tādiem pašiem apdrošināšanas noteikumiem kā esošajiem darbiniekiem, apdrošināšanas segumam saglabājot pilnu apdrošināšanas perioda apdrošinājuma summu (limitu).</w:t>
      </w:r>
    </w:p>
    <w:p w:rsidR="00021674" w:rsidRPr="00D06AE8" w:rsidRDefault="00021674" w:rsidP="00021674">
      <w:pPr>
        <w:numPr>
          <w:ilvl w:val="2"/>
          <w:numId w:val="2"/>
        </w:numPr>
        <w:tabs>
          <w:tab w:val="num" w:pos="1701"/>
        </w:tabs>
        <w:suppressAutoHyphens/>
        <w:autoSpaceDE w:val="0"/>
        <w:spacing w:after="120"/>
        <w:ind w:left="1701" w:hanging="850"/>
        <w:jc w:val="both"/>
      </w:pPr>
      <w:r w:rsidRPr="00D06AE8">
        <w:t>iekļaujot jaunas apdrošināmās personas vai izslēdzot personas no apdrošināmo personu saraksta, veikt polises cenas aprēķinu proporcionāli atlikušajam periodam par pilniem mēnešiem (viena mēneša apdrošināšanas polises cena tiek noteikta kā 1/12 (viena divpadsmitā) daļa no gada apdrošināšanas polises cenas). Aprēķinot polises cenas atlikumu par izslēgtajām apdrošinātājām personām, netiek ņemti vērā administratīvie izdevumi.</w:t>
      </w:r>
    </w:p>
    <w:p w:rsidR="00021674" w:rsidRPr="00D06AE8" w:rsidRDefault="00021674" w:rsidP="00021674">
      <w:pPr>
        <w:numPr>
          <w:ilvl w:val="2"/>
          <w:numId w:val="2"/>
        </w:numPr>
        <w:tabs>
          <w:tab w:val="num" w:pos="1701"/>
        </w:tabs>
        <w:suppressAutoHyphens/>
        <w:autoSpaceDE w:val="0"/>
        <w:spacing w:after="120"/>
        <w:ind w:left="1701" w:hanging="850"/>
        <w:jc w:val="both"/>
      </w:pPr>
      <w:r w:rsidRPr="00D06AE8">
        <w:t>apdrošināt Pasūtītāja darbinieku radiniekus un ģimenes locekļus ar līdzvērtīgiem nosacījumiem kā Pasūtītāja darbiniekiem;</w:t>
      </w:r>
    </w:p>
    <w:p w:rsidR="00021674" w:rsidRPr="00D06AE8" w:rsidRDefault="00021674" w:rsidP="00021674">
      <w:pPr>
        <w:numPr>
          <w:ilvl w:val="2"/>
          <w:numId w:val="2"/>
        </w:numPr>
        <w:tabs>
          <w:tab w:val="num" w:pos="1701"/>
        </w:tabs>
        <w:suppressAutoHyphens/>
        <w:autoSpaceDE w:val="0"/>
        <w:spacing w:after="120"/>
        <w:ind w:left="1701" w:hanging="850"/>
        <w:jc w:val="both"/>
      </w:pPr>
      <w:r w:rsidRPr="00D06AE8">
        <w:t>30 (trīsdesmit) dienu laikā pēc Pasūtītāja rakstiska pieprasījuma iesniegt atskaiti par izmaksātajām apdrošināšanas atlīdzībām atsevišķi par katru apdrošināšanas programmu un apdrošināšanas veidu, norādot arī apdrošināto personu skaitu, kas izmantojuši apdrošināšanas pakalpojumus.</w:t>
      </w:r>
    </w:p>
    <w:p w:rsidR="00021674" w:rsidRPr="00D06AE8" w:rsidRDefault="00120703" w:rsidP="00021674">
      <w:pPr>
        <w:numPr>
          <w:ilvl w:val="1"/>
          <w:numId w:val="2"/>
        </w:numPr>
        <w:tabs>
          <w:tab w:val="left" w:pos="851"/>
        </w:tabs>
        <w:suppressAutoHyphens/>
        <w:autoSpaceDE w:val="0"/>
        <w:spacing w:after="120"/>
        <w:ind w:left="851" w:hanging="851"/>
        <w:jc w:val="both"/>
      </w:pPr>
      <w:r w:rsidRPr="00D06AE8">
        <w:rPr>
          <w:noProof/>
        </w:rPr>
        <w:t>Apdrošinātājs</w:t>
      </w:r>
      <w:r w:rsidR="00021674" w:rsidRPr="00D06AE8">
        <w:t xml:space="preserve"> nodrošina informācijas un dokumentācijas plūsmu starp Pasūtītāju un </w:t>
      </w:r>
      <w:r w:rsidR="00BA0BF6" w:rsidRPr="00D06AE8">
        <w:t>Apdrošinātāj</w:t>
      </w:r>
      <w:r w:rsidR="00021674" w:rsidRPr="00D06AE8">
        <w:rPr>
          <w:bCs/>
        </w:rPr>
        <w:t>u</w:t>
      </w:r>
      <w:r w:rsidR="00021674" w:rsidRPr="00D06AE8">
        <w:t>, Pasūtītāja darbinieku izmaksu lietu administrēšanu savas kompetences ietvaros, darbinieku iesniegto čeku un atlīdzības pieteikumu sākotnējo pārbaudi un konsultācijām, kā arī jebkuram Pasūtītāja darbiniekam brīvi pieejamu iespēju konsultācijām (pa tālruni vai e-pastu) par veselības apdrošināšanas jautājumiem visā Līguma darbības laikā.</w:t>
      </w:r>
    </w:p>
    <w:p w:rsidR="00021674" w:rsidRPr="00D06AE8" w:rsidRDefault="00120703" w:rsidP="00021674">
      <w:pPr>
        <w:numPr>
          <w:ilvl w:val="1"/>
          <w:numId w:val="2"/>
        </w:numPr>
        <w:tabs>
          <w:tab w:val="left" w:pos="851"/>
        </w:tabs>
        <w:suppressAutoHyphens/>
        <w:autoSpaceDE w:val="0"/>
        <w:spacing w:after="120"/>
        <w:ind w:left="851" w:hanging="851"/>
        <w:jc w:val="both"/>
      </w:pPr>
      <w:r w:rsidRPr="00D06AE8">
        <w:rPr>
          <w:noProof/>
        </w:rPr>
        <w:t>Apdrošinātājs</w:t>
      </w:r>
      <w:r w:rsidR="00021674" w:rsidRPr="00D06AE8">
        <w:t xml:space="preserve"> rakstiski savlaicīgi informē Pasūtītāju par nepieciešamību veikt Līguma izpildē iesaistītā personāla un apakšuzņēmēja nomaiņu vai papildu personāla un apakšuzņēmēju iesaistīšanu Līguma izpildē.</w:t>
      </w:r>
    </w:p>
    <w:p w:rsidR="00021674" w:rsidRPr="00D06AE8" w:rsidRDefault="00021674" w:rsidP="00021674">
      <w:pPr>
        <w:numPr>
          <w:ilvl w:val="1"/>
          <w:numId w:val="2"/>
        </w:numPr>
        <w:tabs>
          <w:tab w:val="left" w:pos="851"/>
        </w:tabs>
        <w:suppressAutoHyphens/>
        <w:autoSpaceDE w:val="0"/>
        <w:spacing w:after="120"/>
        <w:ind w:left="851" w:hanging="851"/>
        <w:jc w:val="both"/>
      </w:pPr>
      <w:r w:rsidRPr="00D06AE8">
        <w:lastRenderedPageBreak/>
        <w:t xml:space="preserve">Ja saskaņā ar Publisko iepirkumu likuma 68.panta otro un ceturto daļu Līguma izpildē iesaistītā personāla un apakšuzņēmēja nomaiņai vai papildus personāla un apakšuzņēmēju iesaistīšanai Līguma izpildē nepieciešama Pasūtītāja piekrišana, Pasūtītājs ne vēlāk kā 5 (piecu) darbdienu laikā pēc tam, kad ir saņēmis visu nepieciešamo informāciju un dokumentus, kas nepieciešami lēmuma pieņemšanai informē </w:t>
      </w:r>
      <w:r w:rsidR="00BA0BF6" w:rsidRPr="00D06AE8">
        <w:t>Apdrošinātāj</w:t>
      </w:r>
      <w:r w:rsidRPr="00D06AE8">
        <w:t xml:space="preserve">u par piekrišanu vai atteikumu atļaut izpildē iesaistītā personāla un apakšuzņēmēja nomaiņai vai papildus personāla un apakšuzņēmēju iesaistīšanai Līguma izpildē.      </w:t>
      </w:r>
    </w:p>
    <w:p w:rsidR="00021674" w:rsidRPr="00D06AE8" w:rsidRDefault="00021674" w:rsidP="00021674">
      <w:pPr>
        <w:numPr>
          <w:ilvl w:val="1"/>
          <w:numId w:val="2"/>
        </w:numPr>
        <w:tabs>
          <w:tab w:val="left" w:pos="851"/>
        </w:tabs>
        <w:spacing w:after="120"/>
        <w:ind w:left="851" w:hanging="851"/>
        <w:jc w:val="both"/>
      </w:pPr>
      <w:r w:rsidRPr="00D06AE8">
        <w:t xml:space="preserve">Pasūtītāja darbinieki un to radinieki un ģimenes locekļi (vecāki, bērni, laulātie) pēc brīvprātīgas izvēles var iegādāties </w:t>
      </w:r>
      <w:r w:rsidR="00BA0BF6" w:rsidRPr="00D06AE8">
        <w:t>Apdrošinātāj</w:t>
      </w:r>
      <w:r w:rsidRPr="00D06AE8">
        <w:rPr>
          <w:bCs/>
        </w:rPr>
        <w:t>a</w:t>
      </w:r>
      <w:r w:rsidRPr="00D06AE8">
        <w:t xml:space="preserve"> piedāvājumā norādīto augstāka līmeņa apdrošināšanas programmu vai papildprogrammas, samaksājot starpību no personīgajiem līdzekļiem un Pasūtītājam esot kā starpniekam. Polises papildprogrammu vai paplašinājuma cena var būt atkarīga no apdrošināmo personu skaita.</w:t>
      </w:r>
    </w:p>
    <w:p w:rsidR="00021674" w:rsidRPr="00D06AE8" w:rsidRDefault="00021674" w:rsidP="00021674">
      <w:pPr>
        <w:numPr>
          <w:ilvl w:val="1"/>
          <w:numId w:val="2"/>
        </w:numPr>
        <w:tabs>
          <w:tab w:val="left" w:pos="851"/>
        </w:tabs>
        <w:spacing w:after="120"/>
        <w:ind w:left="851" w:hanging="851"/>
        <w:jc w:val="both"/>
      </w:pPr>
      <w:r w:rsidRPr="00D06AE8">
        <w:t xml:space="preserve">Ja Pasūtītājs nesamaksā </w:t>
      </w:r>
      <w:r w:rsidR="00BA0BF6" w:rsidRPr="00D06AE8">
        <w:t>Apdrošinātāj</w:t>
      </w:r>
      <w:r w:rsidRPr="00D06AE8">
        <w:t xml:space="preserve">am Līgumā noteiktajā termiņā, Pasūtītājs pēc </w:t>
      </w:r>
      <w:r w:rsidR="00903439" w:rsidRPr="00D06AE8">
        <w:t>Apdrošinātāj</w:t>
      </w:r>
      <w:r w:rsidRPr="00D06AE8">
        <w:t xml:space="preserve">a pieprasījuma maksā </w:t>
      </w:r>
      <w:r w:rsidR="00BA0BF6" w:rsidRPr="00D06AE8">
        <w:t>Apdrošinātāj</w:t>
      </w:r>
      <w:r w:rsidRPr="00D06AE8">
        <w:t>am līgumsodu 0,1 % (nulle, komats, viens procents) apmērā no apmaksājamās summas par katru nokavēto kalendāro dienu, bet ne vairāk kā 10 % no Līguma kopējās summas.</w:t>
      </w:r>
    </w:p>
    <w:p w:rsidR="00021674" w:rsidRPr="00D06AE8" w:rsidRDefault="00021674" w:rsidP="00021674">
      <w:pPr>
        <w:numPr>
          <w:ilvl w:val="1"/>
          <w:numId w:val="2"/>
        </w:numPr>
        <w:tabs>
          <w:tab w:val="left" w:pos="851"/>
        </w:tabs>
        <w:spacing w:after="120"/>
        <w:ind w:left="851" w:hanging="851"/>
        <w:jc w:val="both"/>
      </w:pPr>
      <w:r w:rsidRPr="00D06AE8">
        <w:t xml:space="preserve">Ja </w:t>
      </w:r>
      <w:r w:rsidR="00120703" w:rsidRPr="00D06AE8">
        <w:rPr>
          <w:noProof/>
        </w:rPr>
        <w:t>Apdrošinātājs</w:t>
      </w:r>
      <w:r w:rsidRPr="00D06AE8">
        <w:t xml:space="preserve"> nepilda kādu no Līguma nosacījumiem, </w:t>
      </w:r>
      <w:r w:rsidR="00120703" w:rsidRPr="00D06AE8">
        <w:rPr>
          <w:noProof/>
        </w:rPr>
        <w:t>Apdrošinātājs</w:t>
      </w:r>
      <w:r w:rsidRPr="00D06AE8">
        <w:t xml:space="preserve"> pēc Pasūtītāja pieprasījuma maksā līgumsodu Pasūtītājam EUR 150,00 (viens simts piecdesmit </w:t>
      </w:r>
      <w:r w:rsidRPr="00D06AE8">
        <w:rPr>
          <w:i/>
        </w:rPr>
        <w:t>euro</w:t>
      </w:r>
      <w:r w:rsidRPr="00D06AE8">
        <w:t xml:space="preserve">, 0 </w:t>
      </w:r>
      <w:r w:rsidRPr="00D06AE8">
        <w:rPr>
          <w:i/>
        </w:rPr>
        <w:t>centi</w:t>
      </w:r>
      <w:r w:rsidRPr="00D06AE8">
        <w:t>) apmērā par katru gadījumu.</w:t>
      </w:r>
    </w:p>
    <w:p w:rsidR="00021674" w:rsidRPr="00D06AE8" w:rsidRDefault="00021674" w:rsidP="00021674">
      <w:pPr>
        <w:numPr>
          <w:ilvl w:val="1"/>
          <w:numId w:val="2"/>
        </w:numPr>
        <w:tabs>
          <w:tab w:val="left" w:pos="851"/>
        </w:tabs>
        <w:spacing w:after="120"/>
        <w:ind w:left="851" w:hanging="851"/>
        <w:jc w:val="both"/>
      </w:pPr>
      <w:r w:rsidRPr="00D06AE8">
        <w:t>Jebkura šajā Līgumā noteiktā līgumsoda samaksa neatbrīvo Puses no to saistību pilnīgas izpildes. Līgumsoda samaksa nav uzskatāma par zaudējumu atlīdzināšanu.</w:t>
      </w:r>
    </w:p>
    <w:p w:rsidR="00021674" w:rsidRPr="00D06AE8" w:rsidRDefault="00021674" w:rsidP="00021674">
      <w:pPr>
        <w:numPr>
          <w:ilvl w:val="1"/>
          <w:numId w:val="2"/>
        </w:numPr>
        <w:tabs>
          <w:tab w:val="left" w:pos="851"/>
        </w:tabs>
        <w:spacing w:after="120"/>
        <w:ind w:left="851" w:hanging="851"/>
        <w:jc w:val="both"/>
      </w:pPr>
      <w:r w:rsidRPr="00D06AE8">
        <w:t xml:space="preserve">Pasūtītājs nav atbildīgs par darbinieku, to radinieku vai ģimenes locekļu pārtērētajiem apdrošinājuma summas limitiem.   </w:t>
      </w:r>
    </w:p>
    <w:p w:rsidR="00021674" w:rsidRPr="00D06AE8" w:rsidRDefault="00021674" w:rsidP="00021674">
      <w:pPr>
        <w:jc w:val="both"/>
      </w:pPr>
    </w:p>
    <w:p w:rsidR="00021674" w:rsidRPr="00D06AE8" w:rsidRDefault="00021674" w:rsidP="00021674">
      <w:pPr>
        <w:numPr>
          <w:ilvl w:val="0"/>
          <w:numId w:val="2"/>
        </w:numPr>
        <w:suppressAutoHyphens/>
        <w:autoSpaceDE w:val="0"/>
        <w:spacing w:after="240"/>
        <w:ind w:left="357" w:hanging="357"/>
        <w:jc w:val="center"/>
        <w:rPr>
          <w:b/>
          <w:bCs/>
        </w:rPr>
      </w:pPr>
      <w:r w:rsidRPr="00D06AE8">
        <w:rPr>
          <w:b/>
          <w:bCs/>
        </w:rPr>
        <w:t xml:space="preserve">Izmaiņas Līguma darbībā vai tā pirmstermiņa izbeigšana </w:t>
      </w:r>
    </w:p>
    <w:p w:rsidR="00021674" w:rsidRPr="00D06AE8" w:rsidRDefault="00021674" w:rsidP="00021674">
      <w:pPr>
        <w:numPr>
          <w:ilvl w:val="1"/>
          <w:numId w:val="2"/>
        </w:numPr>
        <w:tabs>
          <w:tab w:val="num" w:pos="851"/>
        </w:tabs>
        <w:suppressAutoHyphens/>
        <w:spacing w:after="120"/>
        <w:ind w:left="851" w:hanging="851"/>
        <w:jc w:val="both"/>
      </w:pPr>
      <w:r w:rsidRPr="00D06AE8">
        <w:t>Puses ir iepazinušās ar Līgumu, kas satur pilnīgu Pušu vienošanos un to nevar mainīt citādā kārtībā, kā tikai Pusēm rakstiski vienojoties.</w:t>
      </w:r>
    </w:p>
    <w:p w:rsidR="00021674" w:rsidRPr="00D06AE8" w:rsidRDefault="00021674" w:rsidP="00021674">
      <w:pPr>
        <w:numPr>
          <w:ilvl w:val="1"/>
          <w:numId w:val="2"/>
        </w:numPr>
        <w:tabs>
          <w:tab w:val="num" w:pos="851"/>
        </w:tabs>
        <w:suppressAutoHyphens/>
        <w:autoSpaceDE w:val="0"/>
        <w:spacing w:after="120"/>
        <w:ind w:left="851" w:hanging="851"/>
        <w:jc w:val="both"/>
      </w:pPr>
      <w:r w:rsidRPr="00D06AE8">
        <w:t>Grozījumus vai papildinājumus Līgumā var izdarīt tikai, ievērojot Publisko iepirkumu likuma 67.</w:t>
      </w:r>
      <w:r w:rsidRPr="00D06AE8">
        <w:rPr>
          <w:vertAlign w:val="superscript"/>
        </w:rPr>
        <w:t>1</w:t>
      </w:r>
      <w:r w:rsidRPr="00D06AE8">
        <w:t> panta noteikumus, un tie sagatavojami rakstiski un pievienojami Līgumam kā pielikumi. Grozījumi vai papildinājumi stājas spēkā pēc to abpusējas parakstīšanas un tie kļūst par Līguma neatņemamu sastāvdaļu.</w:t>
      </w:r>
    </w:p>
    <w:p w:rsidR="00021674" w:rsidRPr="00D06AE8" w:rsidRDefault="00021674" w:rsidP="00021674">
      <w:pPr>
        <w:numPr>
          <w:ilvl w:val="1"/>
          <w:numId w:val="2"/>
        </w:numPr>
        <w:tabs>
          <w:tab w:val="num" w:pos="851"/>
        </w:tabs>
        <w:suppressAutoHyphens/>
        <w:autoSpaceDE w:val="0"/>
        <w:spacing w:after="120"/>
        <w:ind w:left="851" w:hanging="851"/>
        <w:jc w:val="both"/>
      </w:pPr>
      <w:r w:rsidRPr="00D06AE8">
        <w:t xml:space="preserve">Līguma darbības laikā </w:t>
      </w:r>
      <w:r w:rsidR="00BA0BF6" w:rsidRPr="00D06AE8">
        <w:t>Apdrošinātāj</w:t>
      </w:r>
      <w:r w:rsidRPr="00D06AE8">
        <w:rPr>
          <w:bCs/>
        </w:rPr>
        <w:t>am</w:t>
      </w:r>
      <w:r w:rsidRPr="00D06AE8">
        <w:t xml:space="preserve"> nav tiesību bez Pasūtītāja tiešas un rakstiskas piekrišanas grozīt, mainīt vai papildināt spēkā esošos atlīdzības saņemšanas kārtību, kā arī citādi pasliktināt Pasūtītāja apdrošināšanas nosacījumus, tajā skaitā </w:t>
      </w:r>
      <w:r w:rsidR="00120703" w:rsidRPr="00D06AE8">
        <w:rPr>
          <w:noProof/>
        </w:rPr>
        <w:t>Apdrošinātājs</w:t>
      </w:r>
      <w:r w:rsidRPr="00D06AE8">
        <w:t xml:space="preserve"> nedrīkst sašaurināt līguma iestāžu sarakstu. Šis nosacījums nav attiecināms uz līguma iestāžu saraksta vai sniegto pakalpojumu klāsta paplašināšanu un uzlabošanu, bet šo pasākumu ieviešana nevar būt par pamatu prasījumam palielināt Līgumā noteiktās veselības apdrošināšanas polises cenu vai mainīt samaksas kārtību.</w:t>
      </w:r>
    </w:p>
    <w:p w:rsidR="00021674" w:rsidRPr="00D06AE8" w:rsidRDefault="00021674" w:rsidP="00021674">
      <w:pPr>
        <w:numPr>
          <w:ilvl w:val="1"/>
          <w:numId w:val="2"/>
        </w:numPr>
        <w:tabs>
          <w:tab w:val="num" w:pos="851"/>
        </w:tabs>
        <w:suppressAutoHyphens/>
        <w:autoSpaceDE w:val="0"/>
        <w:spacing w:after="120"/>
        <w:ind w:left="851" w:hanging="851"/>
        <w:jc w:val="both"/>
      </w:pPr>
      <w:r w:rsidRPr="00D06AE8">
        <w:t xml:space="preserve">Ja Līguma darbības laikā </w:t>
      </w:r>
      <w:r w:rsidR="00120703" w:rsidRPr="00D06AE8">
        <w:rPr>
          <w:noProof/>
        </w:rPr>
        <w:t>Apdrošinātājs</w:t>
      </w:r>
      <w:r w:rsidRPr="00D06AE8">
        <w:t xml:space="preserve"> ir pilnībā izpildījis savas saistības attiecībā pret apdrošināto personu, izmaksājot apdrošināšanas summu pilnā apmērā, tad </w:t>
      </w:r>
      <w:r w:rsidR="00BA0BF6" w:rsidRPr="00D06AE8">
        <w:t>Apdrošinātāj</w:t>
      </w:r>
      <w:r w:rsidRPr="00D06AE8">
        <w:t>s par to 10 (desmit) dienu laikā rakstiski paziņo Pasūtītājam, nosūtot informāciju uz Pasūtītāja kontaktpersonas e-pastu.</w:t>
      </w:r>
    </w:p>
    <w:p w:rsidR="00021674" w:rsidRPr="00D06AE8" w:rsidRDefault="00021674" w:rsidP="00021674">
      <w:pPr>
        <w:numPr>
          <w:ilvl w:val="1"/>
          <w:numId w:val="2"/>
        </w:numPr>
        <w:tabs>
          <w:tab w:val="num" w:pos="851"/>
        </w:tabs>
        <w:suppressAutoHyphens/>
        <w:autoSpaceDE w:val="0"/>
        <w:spacing w:after="120"/>
        <w:ind w:left="851" w:hanging="851"/>
        <w:jc w:val="both"/>
      </w:pPr>
      <w:r w:rsidRPr="00D06AE8">
        <w:lastRenderedPageBreak/>
        <w:t>Puses var izbeigt Līgumu pirms termiņa, noslēdzot rakstiski vienošanos par Līguma izbeigšanas nosacījumiem. Puse, kura ir ierosinājusi izbeigt Līgumu pirms termiņa, nosūta paziņojumu otrai Pusei vismaz 2 (divus) mēnešus pirms paredzamā Līguma termiņa beigām.</w:t>
      </w:r>
    </w:p>
    <w:p w:rsidR="00021674" w:rsidRPr="00D06AE8" w:rsidRDefault="00021674" w:rsidP="00021674">
      <w:pPr>
        <w:numPr>
          <w:ilvl w:val="1"/>
          <w:numId w:val="2"/>
        </w:numPr>
        <w:tabs>
          <w:tab w:val="num" w:pos="851"/>
        </w:tabs>
        <w:suppressAutoHyphens/>
        <w:autoSpaceDE w:val="0"/>
        <w:spacing w:after="120"/>
        <w:ind w:left="851" w:hanging="851"/>
        <w:jc w:val="both"/>
      </w:pPr>
      <w:r w:rsidRPr="00D06AE8">
        <w:t xml:space="preserve">Pasūtītājs var vienpusēji izbeigt Līgumu pirms termiņa, ja </w:t>
      </w:r>
      <w:r w:rsidR="00120703" w:rsidRPr="00D06AE8">
        <w:rPr>
          <w:noProof/>
        </w:rPr>
        <w:t>Apdrošinātājs</w:t>
      </w:r>
      <w:r w:rsidRPr="00D06AE8">
        <w:t xml:space="preserve"> nepilda vai nepienācīgi pilda jebkuru Līguma nosacījumu vai iesniegtā tehniskā un finanšu piedāvājuma punktu. Par Līguma pirmstermiņa izbeigšanu Pasūtītājs paziņo </w:t>
      </w:r>
      <w:r w:rsidR="00BA0BF6" w:rsidRPr="00D06AE8">
        <w:t>Apdrošinātāj</w:t>
      </w:r>
      <w:r w:rsidRPr="00D06AE8">
        <w:rPr>
          <w:bCs/>
        </w:rPr>
        <w:t>am</w:t>
      </w:r>
      <w:r w:rsidRPr="00D06AE8">
        <w:t xml:space="preserve"> rakstiski 1 (vienu) mēnesi iepriekš. </w:t>
      </w:r>
      <w:r w:rsidR="00120703" w:rsidRPr="00D06AE8">
        <w:rPr>
          <w:noProof/>
        </w:rPr>
        <w:t>Apdrošinātājs</w:t>
      </w:r>
      <w:r w:rsidRPr="00D06AE8">
        <w:t xml:space="preserve"> un Pasūtītājs norēķinās par sniegtajiem pakalpojumiem uz Līguma pirmstermiņa izbeigšanas dienu. </w:t>
      </w:r>
      <w:r w:rsidR="00120703" w:rsidRPr="00D06AE8">
        <w:rPr>
          <w:noProof/>
        </w:rPr>
        <w:t>Apdrošinātājs</w:t>
      </w:r>
      <w:r w:rsidRPr="00D06AE8">
        <w:t xml:space="preserve"> 30 (trīsdesmit) dienu laikā pēc Līguma pirmstermiņa izbeigšanas atgriež Pasūtītājam neizmantoto veselības apdrošināšanas polises cenas daļu par laika periodu (atlikušajiem pilnajiem mēnešiem) līdz polises darbības beigām, likumā “Par apdrošināšanas līgumu” noteiktajā kārtībā, neņemot vērā administratīvos izdevumus un izmaksātās apdrošināšanas atlīdzības.</w:t>
      </w:r>
    </w:p>
    <w:p w:rsidR="00021674" w:rsidRPr="00D06AE8" w:rsidRDefault="00021674" w:rsidP="00021674">
      <w:pPr>
        <w:numPr>
          <w:ilvl w:val="1"/>
          <w:numId w:val="2"/>
        </w:numPr>
        <w:tabs>
          <w:tab w:val="num" w:pos="851"/>
        </w:tabs>
        <w:suppressAutoHyphens/>
        <w:autoSpaceDE w:val="0"/>
        <w:spacing w:after="120"/>
        <w:ind w:left="851" w:hanging="851"/>
        <w:jc w:val="both"/>
      </w:pPr>
      <w:r w:rsidRPr="00D06AE8">
        <w:t xml:space="preserve">Pirms termiņa izbeidzot Līgumu, ar tā izbeigšanas dienu spēku zaudē arī visas saskaņā ar šo Līgumu izsniegtās kartes. </w:t>
      </w:r>
    </w:p>
    <w:p w:rsidR="00021674" w:rsidRPr="00D06AE8" w:rsidRDefault="00021674" w:rsidP="00021674">
      <w:pPr>
        <w:suppressAutoHyphens/>
        <w:autoSpaceDE w:val="0"/>
        <w:jc w:val="both"/>
      </w:pPr>
    </w:p>
    <w:p w:rsidR="00021674" w:rsidRPr="00D06AE8" w:rsidRDefault="00021674" w:rsidP="00021674">
      <w:pPr>
        <w:numPr>
          <w:ilvl w:val="0"/>
          <w:numId w:val="2"/>
        </w:numPr>
        <w:tabs>
          <w:tab w:val="num" w:pos="600"/>
        </w:tabs>
        <w:suppressAutoHyphens/>
        <w:autoSpaceDE w:val="0"/>
        <w:spacing w:after="240"/>
        <w:ind w:left="0" w:firstLine="142"/>
        <w:jc w:val="center"/>
        <w:rPr>
          <w:b/>
          <w:bCs/>
        </w:rPr>
      </w:pPr>
      <w:r w:rsidRPr="00D06AE8">
        <w:rPr>
          <w:b/>
          <w:bCs/>
        </w:rPr>
        <w:t>Strīdu izskatīšanas kārtība</w:t>
      </w:r>
    </w:p>
    <w:p w:rsidR="00021674" w:rsidRPr="00D06AE8" w:rsidRDefault="00021674" w:rsidP="00021674">
      <w:pPr>
        <w:pStyle w:val="BlockText"/>
        <w:numPr>
          <w:ilvl w:val="1"/>
          <w:numId w:val="2"/>
        </w:numPr>
        <w:tabs>
          <w:tab w:val="left" w:pos="851"/>
        </w:tabs>
        <w:spacing w:after="120"/>
        <w:ind w:left="851" w:right="0" w:hanging="851"/>
        <w:jc w:val="both"/>
        <w:rPr>
          <w:b w:val="0"/>
          <w:sz w:val="24"/>
          <w:szCs w:val="24"/>
          <w:lang w:val="lv-LV"/>
        </w:rPr>
      </w:pPr>
      <w:r w:rsidRPr="00D06AE8">
        <w:rPr>
          <w:b w:val="0"/>
          <w:sz w:val="24"/>
          <w:szCs w:val="24"/>
          <w:lang w:val="lv-LV"/>
        </w:rPr>
        <w:t>Pušu domstarpības, kas saistītas ar Līgumā paredzēto saistību izpildi, risina sarunu ceļā. Vienošanos noformē rakstiski un tā stājas spēkā pēc abpusējas parakstīšanas un kļūst par Līguma neatņemamu sastāvdaļu.</w:t>
      </w:r>
    </w:p>
    <w:p w:rsidR="00021674" w:rsidRPr="00D06AE8" w:rsidRDefault="00021674" w:rsidP="00021674">
      <w:pPr>
        <w:pStyle w:val="BlockText"/>
        <w:numPr>
          <w:ilvl w:val="1"/>
          <w:numId w:val="2"/>
        </w:numPr>
        <w:tabs>
          <w:tab w:val="left" w:pos="851"/>
        </w:tabs>
        <w:spacing w:after="120"/>
        <w:ind w:left="851" w:right="0" w:hanging="851"/>
        <w:jc w:val="both"/>
        <w:rPr>
          <w:b w:val="0"/>
          <w:sz w:val="24"/>
          <w:szCs w:val="24"/>
          <w:lang w:val="lv-LV"/>
        </w:rPr>
      </w:pPr>
      <w:r w:rsidRPr="00D06AE8">
        <w:rPr>
          <w:b w:val="0"/>
          <w:sz w:val="24"/>
          <w:szCs w:val="24"/>
          <w:lang w:val="lv-LV"/>
        </w:rPr>
        <w:t>Ja Puses nevar vienoties 30 (trīsdesmit) dienu laikā, strīdu nodod izskatīšanai Latvijas Republikas tiesā Latvijas Republikas normatīvajos aktos noteiktajā kārtībā.</w:t>
      </w:r>
    </w:p>
    <w:p w:rsidR="00021674" w:rsidRPr="00D06AE8" w:rsidRDefault="00021674" w:rsidP="00021674">
      <w:pPr>
        <w:numPr>
          <w:ilvl w:val="1"/>
          <w:numId w:val="2"/>
        </w:numPr>
        <w:shd w:val="clear" w:color="auto" w:fill="FFFFFF"/>
        <w:tabs>
          <w:tab w:val="left" w:pos="851"/>
        </w:tabs>
        <w:spacing w:after="120"/>
        <w:ind w:left="851" w:hanging="851"/>
        <w:jc w:val="both"/>
      </w:pPr>
      <w:r w:rsidRPr="00D06AE8">
        <w:t xml:space="preserve">Ja tiek konstatētas pretrunas starp </w:t>
      </w:r>
      <w:r w:rsidR="00BA0BF6" w:rsidRPr="00D06AE8">
        <w:t>Apdrošinātāj</w:t>
      </w:r>
      <w:r w:rsidRPr="00D06AE8">
        <w:t>a tehnisko un finanšu piedāvājumu, tai skaitā atlīdzības saņemšanas kārtību vai citiem nosacījumiem un Līgumu, tad noteicošais ir Līgums.</w:t>
      </w:r>
    </w:p>
    <w:p w:rsidR="00021674" w:rsidRPr="00D06AE8" w:rsidRDefault="00021674" w:rsidP="00021674">
      <w:pPr>
        <w:pStyle w:val="BlockText"/>
        <w:numPr>
          <w:ilvl w:val="1"/>
          <w:numId w:val="2"/>
        </w:numPr>
        <w:tabs>
          <w:tab w:val="left" w:pos="851"/>
        </w:tabs>
        <w:spacing w:after="120"/>
        <w:ind w:left="851" w:right="0" w:hanging="851"/>
        <w:jc w:val="both"/>
        <w:rPr>
          <w:b w:val="0"/>
          <w:sz w:val="24"/>
          <w:szCs w:val="24"/>
          <w:lang w:val="lv-LV"/>
        </w:rPr>
      </w:pPr>
      <w:r w:rsidRPr="00D06AE8">
        <w:rPr>
          <w:b w:val="0"/>
          <w:sz w:val="24"/>
          <w:szCs w:val="24"/>
          <w:lang w:val="lv-LV"/>
        </w:rPr>
        <w:t>Pušu strīdi vai domstarpības neatbrīvo tās no Līguma paredzēto saistību pilnīgas izpildes.</w:t>
      </w:r>
    </w:p>
    <w:p w:rsidR="00021674" w:rsidRPr="00D06AE8" w:rsidRDefault="00021674" w:rsidP="00021674">
      <w:pPr>
        <w:numPr>
          <w:ilvl w:val="0"/>
          <w:numId w:val="2"/>
        </w:numPr>
        <w:tabs>
          <w:tab w:val="num" w:pos="600"/>
        </w:tabs>
        <w:suppressAutoHyphens/>
        <w:autoSpaceDE w:val="0"/>
        <w:spacing w:after="240"/>
        <w:ind w:left="0" w:firstLine="142"/>
        <w:jc w:val="center"/>
        <w:rPr>
          <w:b/>
          <w:bCs/>
        </w:rPr>
      </w:pPr>
      <w:r w:rsidRPr="00D06AE8">
        <w:rPr>
          <w:b/>
          <w:bCs/>
        </w:rPr>
        <w:t>Pārējie noteikumi</w:t>
      </w:r>
    </w:p>
    <w:p w:rsidR="00021674" w:rsidRPr="00D06AE8" w:rsidRDefault="00021674" w:rsidP="00021674">
      <w:pPr>
        <w:numPr>
          <w:ilvl w:val="1"/>
          <w:numId w:val="2"/>
        </w:numPr>
        <w:tabs>
          <w:tab w:val="num" w:pos="851"/>
        </w:tabs>
        <w:suppressAutoHyphens/>
        <w:autoSpaceDE w:val="0"/>
        <w:spacing w:after="120"/>
        <w:ind w:left="851" w:hanging="851"/>
        <w:jc w:val="both"/>
      </w:pPr>
      <w:r w:rsidRPr="00D06AE8">
        <w:t xml:space="preserve">Līgums nosaka saistības kā </w:t>
      </w:r>
      <w:r w:rsidR="00BA0BF6" w:rsidRPr="00D06AE8">
        <w:t>Apdrošinātāj</w:t>
      </w:r>
      <w:r w:rsidRPr="00D06AE8">
        <w:rPr>
          <w:bCs/>
        </w:rPr>
        <w:t>am</w:t>
      </w:r>
      <w:r w:rsidRPr="00D06AE8">
        <w:t>, tā Pasūtītājam, kā arī visām trešajām personām, kas likumīgi pārņem viņu tiesības un saistības.</w:t>
      </w:r>
    </w:p>
    <w:p w:rsidR="00021674" w:rsidRPr="00D06AE8" w:rsidRDefault="00021674" w:rsidP="00021674">
      <w:pPr>
        <w:numPr>
          <w:ilvl w:val="1"/>
          <w:numId w:val="2"/>
        </w:numPr>
        <w:tabs>
          <w:tab w:val="num" w:pos="851"/>
        </w:tabs>
        <w:suppressAutoHyphens/>
        <w:autoSpaceDE w:val="0"/>
        <w:spacing w:after="120"/>
        <w:ind w:left="851" w:hanging="851"/>
        <w:jc w:val="both"/>
      </w:pPr>
      <w:r w:rsidRPr="00D06AE8">
        <w:t>Ja Puse maina Līgumā norādītos rekvizītus, tajā skaitā kredītiestāžu rekvizītus, tā ne vēlāk kā 3 (trīs) darbdienu laikā, izmantojot e-pastu, paziņo par to otrai Pusei. Ja kāda Puse nepilda šī punkta nosacījumus, uzskatāms, ka otra Puse ir pilnībā izpildījusi savas saistības. Vainīgā Puse uzņemas atbildību par zaudējumiem, kas šajā sakarā būs radušies otrai Pusei.</w:t>
      </w:r>
    </w:p>
    <w:p w:rsidR="00021674" w:rsidRPr="00D06AE8" w:rsidRDefault="00021674" w:rsidP="00021674">
      <w:pPr>
        <w:numPr>
          <w:ilvl w:val="1"/>
          <w:numId w:val="2"/>
        </w:numPr>
        <w:tabs>
          <w:tab w:val="num" w:pos="851"/>
        </w:tabs>
        <w:suppressAutoHyphens/>
        <w:autoSpaceDE w:val="0"/>
        <w:spacing w:after="120"/>
        <w:ind w:left="851" w:hanging="851"/>
        <w:jc w:val="both"/>
      </w:pPr>
      <w:r w:rsidRPr="00D06AE8">
        <w:t>Puses vienojas, ka ar Līguma izpildi saistītos jautājumus risinās šādas Pušu noteiktās kontaktpersonas:</w:t>
      </w:r>
    </w:p>
    <w:p w:rsidR="00021674" w:rsidRPr="00D06AE8" w:rsidRDefault="00BA0BF6" w:rsidP="00021674">
      <w:pPr>
        <w:numPr>
          <w:ilvl w:val="2"/>
          <w:numId w:val="2"/>
        </w:numPr>
        <w:tabs>
          <w:tab w:val="num" w:pos="1701"/>
        </w:tabs>
        <w:suppressAutoHyphens/>
        <w:spacing w:after="120"/>
        <w:ind w:left="1701" w:hanging="851"/>
        <w:jc w:val="both"/>
      </w:pPr>
      <w:r w:rsidRPr="00D06AE8">
        <w:t>Apdrošinātāj</w:t>
      </w:r>
      <w:r w:rsidR="00021674" w:rsidRPr="00D06AE8">
        <w:rPr>
          <w:bCs/>
        </w:rPr>
        <w:t>a</w:t>
      </w:r>
      <w:r w:rsidR="00021674" w:rsidRPr="00D06AE8">
        <w:t xml:space="preserve"> kontaktpersona:</w:t>
      </w:r>
      <w:r w:rsidR="000B7DEC" w:rsidRPr="00D06AE8">
        <w:t xml:space="preserve"> Vita Zute</w:t>
      </w:r>
      <w:r w:rsidR="00021674" w:rsidRPr="00D06AE8">
        <w:t xml:space="preserve">, tālrunis </w:t>
      </w:r>
      <w:r w:rsidR="000B7DEC" w:rsidRPr="00D06AE8">
        <w:t>(+371) 29433893</w:t>
      </w:r>
      <w:r w:rsidR="000B7DEC" w:rsidRPr="00D06AE8" w:rsidDel="000B7DEC">
        <w:t xml:space="preserve"> </w:t>
      </w:r>
      <w:r w:rsidR="00021674" w:rsidRPr="00D06AE8">
        <w:t xml:space="preserve">, fakss </w:t>
      </w:r>
      <w:r w:rsidR="000B7DEC" w:rsidRPr="00D06AE8">
        <w:t>(+371) 67606957</w:t>
      </w:r>
      <w:r w:rsidR="000B7DEC" w:rsidRPr="00D06AE8" w:rsidDel="000B7DEC">
        <w:t xml:space="preserve"> </w:t>
      </w:r>
      <w:r w:rsidR="00021674" w:rsidRPr="00D06AE8">
        <w:t xml:space="preserve">, e-pasts: </w:t>
      </w:r>
      <w:hyperlink r:id="rId6" w:history="1">
        <w:r w:rsidR="000B7DEC" w:rsidRPr="00D06AE8">
          <w:rPr>
            <w:rStyle w:val="Hyperlink"/>
          </w:rPr>
          <w:t>vita.zute@compensalife.lv</w:t>
        </w:r>
      </w:hyperlink>
      <w:r w:rsidR="000B7DEC" w:rsidRPr="00D06AE8">
        <w:t xml:space="preserve">; </w:t>
      </w:r>
    </w:p>
    <w:p w:rsidR="00021674" w:rsidRPr="00D06AE8" w:rsidRDefault="00021674" w:rsidP="00021674">
      <w:pPr>
        <w:numPr>
          <w:ilvl w:val="2"/>
          <w:numId w:val="2"/>
        </w:numPr>
        <w:tabs>
          <w:tab w:val="num" w:pos="1701"/>
        </w:tabs>
        <w:suppressAutoHyphens/>
        <w:spacing w:after="120"/>
        <w:ind w:left="1701" w:hanging="851"/>
        <w:jc w:val="both"/>
      </w:pPr>
      <w:r w:rsidRPr="00D06AE8">
        <w:t xml:space="preserve">Pasūtītāja kontaktpersona: Kristīne Ozoliņa, tālrunis (+371) 67082793, e-pasts: </w:t>
      </w:r>
      <w:hyperlink r:id="rId7" w:history="1">
        <w:r w:rsidRPr="00D06AE8">
          <w:rPr>
            <w:rStyle w:val="Hyperlink"/>
          </w:rPr>
          <w:t>kristine.ozolina@pkc.mk.gov.lv</w:t>
        </w:r>
      </w:hyperlink>
      <w:r w:rsidRPr="00D06AE8">
        <w:t>).</w:t>
      </w:r>
    </w:p>
    <w:p w:rsidR="00021674" w:rsidRPr="00D06AE8" w:rsidRDefault="00021674" w:rsidP="00021674">
      <w:pPr>
        <w:numPr>
          <w:ilvl w:val="1"/>
          <w:numId w:val="2"/>
        </w:numPr>
        <w:tabs>
          <w:tab w:val="num" w:pos="851"/>
        </w:tabs>
        <w:suppressAutoHyphens/>
        <w:autoSpaceDE w:val="0"/>
        <w:spacing w:after="120"/>
        <w:ind w:left="851" w:hanging="851"/>
        <w:jc w:val="both"/>
      </w:pPr>
      <w:r w:rsidRPr="00D06AE8">
        <w:lastRenderedPageBreak/>
        <w:t>Pušu iesniegumi, pretenzijas un paziņojumi, kas attiecas uz Līguma izpildi, izdarāmi rakstiski. Par paziņošanas saistību izpildes dienu uzskatāma:</w:t>
      </w:r>
    </w:p>
    <w:p w:rsidR="00021674" w:rsidRPr="00D06AE8" w:rsidRDefault="00021674" w:rsidP="00021674">
      <w:pPr>
        <w:numPr>
          <w:ilvl w:val="2"/>
          <w:numId w:val="2"/>
        </w:numPr>
        <w:tabs>
          <w:tab w:val="num" w:pos="1701"/>
        </w:tabs>
        <w:suppressAutoHyphens/>
        <w:spacing w:after="120"/>
        <w:ind w:left="1701" w:hanging="851"/>
        <w:jc w:val="both"/>
      </w:pPr>
      <w:r w:rsidRPr="00D06AE8">
        <w:t>diena, kad paziņojums nodots pastā, nosūtīšanai uz otras Puses juridisko adresi ar ierakstītu pasta sūtījumu;</w:t>
      </w:r>
    </w:p>
    <w:p w:rsidR="00267CE0" w:rsidRPr="00D06AE8" w:rsidRDefault="00021674" w:rsidP="00021674">
      <w:pPr>
        <w:numPr>
          <w:ilvl w:val="2"/>
          <w:numId w:val="2"/>
        </w:numPr>
        <w:tabs>
          <w:tab w:val="num" w:pos="1701"/>
        </w:tabs>
        <w:suppressAutoHyphens/>
        <w:spacing w:after="120"/>
        <w:ind w:left="1701" w:hanging="851"/>
        <w:jc w:val="both"/>
      </w:pPr>
      <w:r w:rsidRPr="00D06AE8">
        <w:t>diena, kad paziņojums iesniegts otrai Pusei pret tās pārstāvja parakstu vai nosūtīts pa e-pastu vai faksu</w:t>
      </w:r>
      <w:r w:rsidR="00267CE0" w:rsidRPr="00D06AE8">
        <w:t>;</w:t>
      </w:r>
    </w:p>
    <w:p w:rsidR="00021674" w:rsidRPr="00D06AE8" w:rsidRDefault="00267CE0" w:rsidP="00021674">
      <w:pPr>
        <w:numPr>
          <w:ilvl w:val="2"/>
          <w:numId w:val="2"/>
        </w:numPr>
        <w:tabs>
          <w:tab w:val="num" w:pos="1701"/>
        </w:tabs>
        <w:suppressAutoHyphens/>
        <w:spacing w:after="120"/>
        <w:ind w:left="1701" w:hanging="851"/>
        <w:jc w:val="both"/>
      </w:pPr>
      <w:r w:rsidRPr="00D06AE8">
        <w:t>diena, kad elektroniski parakstīts dokuments nosūtīts uz Līguma 8.punktā norādīto e-pasta adresi</w:t>
      </w:r>
      <w:r w:rsidR="00021674" w:rsidRPr="00D06AE8">
        <w:t>.</w:t>
      </w:r>
    </w:p>
    <w:p w:rsidR="00021674" w:rsidRPr="00D06AE8" w:rsidRDefault="00021674" w:rsidP="00021674">
      <w:pPr>
        <w:numPr>
          <w:ilvl w:val="1"/>
          <w:numId w:val="2"/>
        </w:numPr>
        <w:tabs>
          <w:tab w:val="num" w:pos="851"/>
        </w:tabs>
        <w:suppressAutoHyphens/>
        <w:autoSpaceDE w:val="0"/>
        <w:spacing w:after="120"/>
        <w:ind w:left="851" w:hanging="851"/>
        <w:jc w:val="both"/>
      </w:pPr>
      <w:r w:rsidRPr="00D06AE8">
        <w:t xml:space="preserve">Līguma un tā grozījumu (ja tādi ir) teksts, izņemot </w:t>
      </w:r>
      <w:r w:rsidR="00CD0C79" w:rsidRPr="00D06AE8">
        <w:rPr>
          <w:noProof/>
        </w:rPr>
        <w:t>veselības apdrošināšanas polisi Nr. __________________</w:t>
      </w:r>
      <w:r w:rsidR="00CD0C79" w:rsidRPr="00D06AE8">
        <w:t xml:space="preserve">(pielikums Nr.1) un </w:t>
      </w:r>
      <w:r w:rsidR="00903439" w:rsidRPr="00D06AE8">
        <w:t>Apdrošinātāj</w:t>
      </w:r>
      <w:r w:rsidRPr="00D06AE8">
        <w:t>a tehnisko un finanšu piedāvājumu (pielikums Nr.</w:t>
      </w:r>
      <w:r w:rsidR="00A61F23" w:rsidRPr="00D06AE8">
        <w:t>2</w:t>
      </w:r>
      <w:r w:rsidRPr="00D06AE8">
        <w:t>), kā arī Līguma pielikumus, kas satur komercnoslēpumu, konfidenciālu informāciju vai personas datus un citu sensitīvu informāciju, saskaņā ar Publisko iepirkumu likuma 8.</w:t>
      </w:r>
      <w:r w:rsidRPr="00D06AE8">
        <w:rPr>
          <w:vertAlign w:val="superscript"/>
        </w:rPr>
        <w:t>2 </w:t>
      </w:r>
      <w:r w:rsidRPr="00D06AE8">
        <w:t>panta trīspadsmito daļu tiek publicēts Pasūtītāja mājaslapā internetā sadaļā „Iepirkumi”.</w:t>
      </w:r>
    </w:p>
    <w:p w:rsidR="00021674" w:rsidRPr="00D06AE8" w:rsidRDefault="00021674" w:rsidP="00021674">
      <w:pPr>
        <w:numPr>
          <w:ilvl w:val="1"/>
          <w:numId w:val="2"/>
        </w:numPr>
        <w:tabs>
          <w:tab w:val="num" w:pos="851"/>
        </w:tabs>
        <w:suppressAutoHyphens/>
        <w:autoSpaceDE w:val="0"/>
        <w:spacing w:after="120"/>
        <w:ind w:left="851" w:hanging="851"/>
        <w:jc w:val="both"/>
      </w:pPr>
      <w:r w:rsidRPr="00D06AE8">
        <w:t xml:space="preserve">Līgums sastādīts un parakstīts 2 (divos) eksemplāros, katrs uz </w:t>
      </w:r>
      <w:r w:rsidR="00CD0C79" w:rsidRPr="00D06AE8">
        <w:t xml:space="preserve">6 (sešām) </w:t>
      </w:r>
      <w:r w:rsidRPr="00D06AE8">
        <w:t>lapām, tajā skaitā pielikums Nr.1</w:t>
      </w:r>
      <w:r w:rsidR="00CD0C79" w:rsidRPr="00D06AE8">
        <w:t xml:space="preserve"> “</w:t>
      </w:r>
      <w:r w:rsidR="00CD0C79" w:rsidRPr="00D06AE8">
        <w:rPr>
          <w:noProof/>
        </w:rPr>
        <w:t>Veselības apdrošināšanas polise Nr. __________________</w:t>
      </w:r>
      <w:r w:rsidR="00CD0C79" w:rsidRPr="00D06AE8">
        <w:t>”</w:t>
      </w:r>
      <w:r w:rsidRPr="00D06AE8">
        <w:t xml:space="preserve"> uz </w:t>
      </w:r>
      <w:r w:rsidR="00DA29F0" w:rsidRPr="00D06AE8">
        <w:sym w:font="Symbol" w:char="F03C"/>
      </w:r>
      <w:r w:rsidR="00DA29F0" w:rsidRPr="00D06AE8">
        <w:rPr>
          <w:i/>
        </w:rPr>
        <w:t>skaits</w:t>
      </w:r>
      <w:r w:rsidR="00DA29F0" w:rsidRPr="00D06AE8">
        <w:sym w:font="Symbol" w:char="F03E"/>
      </w:r>
      <w:r w:rsidR="00DA29F0" w:rsidRPr="00D06AE8">
        <w:t xml:space="preserve"> </w:t>
      </w:r>
      <w:r w:rsidRPr="00D06AE8">
        <w:t>(</w:t>
      </w:r>
      <w:r w:rsidR="00DA29F0" w:rsidRPr="00D06AE8">
        <w:sym w:font="Symbol" w:char="F03C"/>
      </w:r>
      <w:r w:rsidR="00DA29F0" w:rsidRPr="00D06AE8">
        <w:rPr>
          <w:i/>
        </w:rPr>
        <w:t>skaits v</w:t>
      </w:r>
      <w:r w:rsidR="007E7BE7" w:rsidRPr="00D06AE8">
        <w:rPr>
          <w:i/>
        </w:rPr>
        <w:t>ā</w:t>
      </w:r>
      <w:r w:rsidR="00DA29F0" w:rsidRPr="00D06AE8">
        <w:rPr>
          <w:i/>
        </w:rPr>
        <w:t>rdiem</w:t>
      </w:r>
      <w:r w:rsidR="00DA29F0" w:rsidRPr="00D06AE8">
        <w:sym w:font="Symbol" w:char="F03E"/>
      </w:r>
      <w:r w:rsidRPr="00D06AE8">
        <w:t xml:space="preserve">) lapām, un pielikums Nr.2 </w:t>
      </w:r>
      <w:r w:rsidR="00A61F23" w:rsidRPr="00D06AE8">
        <w:t>“</w:t>
      </w:r>
      <w:r w:rsidR="007E7BE7" w:rsidRPr="00D06AE8">
        <w:t>Pretendenta t</w:t>
      </w:r>
      <w:r w:rsidR="00A61F23" w:rsidRPr="00D06AE8">
        <w:t xml:space="preserve">ehniskai un finanšu piedāvājums” </w:t>
      </w:r>
      <w:r w:rsidR="00CD0C79" w:rsidRPr="00D06AE8">
        <w:t xml:space="preserve">ar pielikumiem kopā </w:t>
      </w:r>
      <w:r w:rsidR="00A61F23" w:rsidRPr="00D06AE8">
        <w:t xml:space="preserve">uz </w:t>
      </w:r>
      <w:r w:rsidR="007E7BE7" w:rsidRPr="00D06AE8">
        <w:t>23</w:t>
      </w:r>
      <w:r w:rsidR="00CD0C79" w:rsidRPr="00D06AE8">
        <w:t xml:space="preserve"> </w:t>
      </w:r>
      <w:r w:rsidRPr="00D06AE8">
        <w:t>(</w:t>
      </w:r>
      <w:r w:rsidR="00CD0C79" w:rsidRPr="00D06AE8">
        <w:t>d</w:t>
      </w:r>
      <w:r w:rsidR="007E7BE7" w:rsidRPr="00D06AE8">
        <w:t>ivdesmit trīs</w:t>
      </w:r>
      <w:r w:rsidRPr="00D06AE8">
        <w:t xml:space="preserve">) lapām, kas ir neatņemamas šī Līguma sastāvdaļas, ar vienādu juridisku spēku, no kuriem viens nodots </w:t>
      </w:r>
      <w:r w:rsidR="00903439" w:rsidRPr="00D06AE8">
        <w:t>Apdrošinātāj</w:t>
      </w:r>
      <w:r w:rsidRPr="00D06AE8">
        <w:rPr>
          <w:bCs/>
        </w:rPr>
        <w:t>am</w:t>
      </w:r>
      <w:r w:rsidRPr="00D06AE8">
        <w:t>, bet otrs Pasūtītājam.</w:t>
      </w:r>
    </w:p>
    <w:p w:rsidR="00021674" w:rsidRPr="00D06AE8" w:rsidRDefault="00021674" w:rsidP="00021674">
      <w:pPr>
        <w:numPr>
          <w:ilvl w:val="0"/>
          <w:numId w:val="2"/>
        </w:numPr>
        <w:shd w:val="clear" w:color="auto" w:fill="FFFFFF"/>
        <w:spacing w:before="240" w:after="240"/>
        <w:jc w:val="center"/>
        <w:rPr>
          <w:b/>
          <w:bCs/>
        </w:rPr>
      </w:pPr>
      <w:r w:rsidRPr="00D06AE8">
        <w:rPr>
          <w:b/>
          <w:bCs/>
        </w:rPr>
        <w:t xml:space="preserve">Pušu rekvizīti </w:t>
      </w:r>
    </w:p>
    <w:tbl>
      <w:tblPr>
        <w:tblW w:w="0" w:type="auto"/>
        <w:tblLook w:val="04A0" w:firstRow="1" w:lastRow="0" w:firstColumn="1" w:lastColumn="0" w:noHBand="0" w:noVBand="1"/>
      </w:tblPr>
      <w:tblGrid>
        <w:gridCol w:w="4530"/>
        <w:gridCol w:w="4531"/>
      </w:tblGrid>
      <w:tr w:rsidR="00021674" w:rsidRPr="00D06AE8" w:rsidTr="00E01D5B">
        <w:tc>
          <w:tcPr>
            <w:tcW w:w="4530" w:type="dxa"/>
            <w:shd w:val="clear" w:color="auto" w:fill="auto"/>
            <w:hideMark/>
          </w:tcPr>
          <w:p w:rsidR="00021674" w:rsidRPr="00D06AE8" w:rsidRDefault="00021674" w:rsidP="00E01D5B">
            <w:r w:rsidRPr="00D06AE8">
              <w:rPr>
                <w:b/>
              </w:rPr>
              <w:t>Pasūtītājs:</w:t>
            </w:r>
          </w:p>
        </w:tc>
        <w:tc>
          <w:tcPr>
            <w:tcW w:w="4531" w:type="dxa"/>
            <w:shd w:val="clear" w:color="auto" w:fill="auto"/>
            <w:hideMark/>
          </w:tcPr>
          <w:p w:rsidR="00021674" w:rsidRPr="00D06AE8" w:rsidRDefault="00120703" w:rsidP="00E01D5B">
            <w:r w:rsidRPr="00D06AE8">
              <w:rPr>
                <w:b/>
                <w:noProof/>
              </w:rPr>
              <w:t>Apdrošinātājs</w:t>
            </w:r>
            <w:r w:rsidR="00021674" w:rsidRPr="00D06AE8">
              <w:rPr>
                <w:b/>
              </w:rPr>
              <w:t>:</w:t>
            </w:r>
          </w:p>
        </w:tc>
      </w:tr>
      <w:tr w:rsidR="00021674" w:rsidRPr="00D06AE8" w:rsidTr="00E01D5B">
        <w:tc>
          <w:tcPr>
            <w:tcW w:w="4530" w:type="dxa"/>
            <w:shd w:val="clear" w:color="auto" w:fill="auto"/>
          </w:tcPr>
          <w:p w:rsidR="00021674" w:rsidRPr="00D06AE8" w:rsidRDefault="00021674" w:rsidP="00E01D5B"/>
        </w:tc>
        <w:tc>
          <w:tcPr>
            <w:tcW w:w="4531" w:type="dxa"/>
            <w:shd w:val="clear" w:color="auto" w:fill="auto"/>
          </w:tcPr>
          <w:p w:rsidR="00021674" w:rsidRPr="00D06AE8" w:rsidRDefault="00021674" w:rsidP="00E01D5B"/>
        </w:tc>
      </w:tr>
      <w:tr w:rsidR="00021674" w:rsidRPr="00D06AE8" w:rsidTr="00E01D5B">
        <w:trPr>
          <w:trHeight w:val="2944"/>
        </w:trPr>
        <w:tc>
          <w:tcPr>
            <w:tcW w:w="4530" w:type="dxa"/>
            <w:shd w:val="clear" w:color="auto" w:fill="auto"/>
          </w:tcPr>
          <w:p w:rsidR="00021674" w:rsidRPr="00D06AE8" w:rsidRDefault="00021674" w:rsidP="00E01D5B">
            <w:pPr>
              <w:shd w:val="clear" w:color="auto" w:fill="FFFFFF"/>
              <w:rPr>
                <w:b/>
                <w:spacing w:val="3"/>
              </w:rPr>
            </w:pPr>
            <w:r w:rsidRPr="00D06AE8">
              <w:rPr>
                <w:b/>
                <w:spacing w:val="3"/>
              </w:rPr>
              <w:t>Pārresoru koordinācijas centrs</w:t>
            </w:r>
          </w:p>
          <w:p w:rsidR="00021674" w:rsidRPr="00D06AE8" w:rsidRDefault="00021674" w:rsidP="00E01D5B">
            <w:pPr>
              <w:shd w:val="clear" w:color="auto" w:fill="FFFFFF"/>
              <w:jc w:val="both"/>
              <w:rPr>
                <w:spacing w:val="3"/>
              </w:rPr>
            </w:pPr>
          </w:p>
          <w:p w:rsidR="00021674" w:rsidRPr="00D06AE8" w:rsidRDefault="00021674" w:rsidP="00E01D5B">
            <w:pPr>
              <w:shd w:val="clear" w:color="auto" w:fill="FFFFFF"/>
              <w:jc w:val="both"/>
              <w:rPr>
                <w:spacing w:val="3"/>
              </w:rPr>
            </w:pPr>
            <w:r w:rsidRPr="00D06AE8">
              <w:rPr>
                <w:spacing w:val="3"/>
              </w:rPr>
              <w:t xml:space="preserve">Reģ.nr. </w:t>
            </w:r>
            <w:r w:rsidRPr="00D06AE8">
              <w:t>90009682011</w:t>
            </w:r>
            <w:r w:rsidRPr="00D06AE8">
              <w:rPr>
                <w:spacing w:val="3"/>
              </w:rPr>
              <w:t xml:space="preserve"> </w:t>
            </w:r>
          </w:p>
          <w:p w:rsidR="005B2BDC" w:rsidRPr="00D06AE8" w:rsidRDefault="005B2BDC" w:rsidP="00E01D5B">
            <w:pPr>
              <w:shd w:val="clear" w:color="auto" w:fill="FFFFFF"/>
              <w:jc w:val="both"/>
              <w:rPr>
                <w:spacing w:val="3"/>
              </w:rPr>
            </w:pPr>
            <w:r w:rsidRPr="00D06AE8">
              <w:t xml:space="preserve">Juridiskā adrese: </w:t>
            </w:r>
            <w:r w:rsidR="00021674" w:rsidRPr="00D06AE8">
              <w:rPr>
                <w:spacing w:val="3"/>
              </w:rPr>
              <w:t>Brīvības bulvāris 36,</w:t>
            </w:r>
          </w:p>
          <w:p w:rsidR="00021674" w:rsidRPr="00D06AE8" w:rsidRDefault="00021674" w:rsidP="005B2BDC">
            <w:pPr>
              <w:shd w:val="clear" w:color="auto" w:fill="FFFFFF"/>
              <w:ind w:firstLine="1701"/>
              <w:jc w:val="both"/>
              <w:rPr>
                <w:spacing w:val="3"/>
              </w:rPr>
            </w:pPr>
            <w:r w:rsidRPr="00D06AE8">
              <w:rPr>
                <w:spacing w:val="3"/>
              </w:rPr>
              <w:t>Rīga, LV-1520</w:t>
            </w:r>
          </w:p>
          <w:p w:rsidR="00021674" w:rsidRPr="00D06AE8" w:rsidRDefault="00021674" w:rsidP="00E01D5B">
            <w:r w:rsidRPr="00D06AE8">
              <w:t xml:space="preserve">e-pasts: </w:t>
            </w:r>
            <w:hyperlink r:id="rId8" w:history="1">
              <w:r w:rsidRPr="00D06AE8">
                <w:rPr>
                  <w:rStyle w:val="Hyperlink"/>
                </w:rPr>
                <w:t>pkc@pkc.mk.gov.lv</w:t>
              </w:r>
            </w:hyperlink>
          </w:p>
          <w:p w:rsidR="00021674" w:rsidRPr="00D06AE8" w:rsidRDefault="00021674" w:rsidP="00E01D5B">
            <w:pPr>
              <w:shd w:val="clear" w:color="auto" w:fill="FFFFFF"/>
              <w:jc w:val="both"/>
              <w:rPr>
                <w:spacing w:val="3"/>
              </w:rPr>
            </w:pPr>
          </w:p>
          <w:p w:rsidR="00021674" w:rsidRPr="00D06AE8" w:rsidRDefault="00021674" w:rsidP="00E01D5B">
            <w:pPr>
              <w:shd w:val="clear" w:color="auto" w:fill="FFFFFF"/>
              <w:jc w:val="both"/>
              <w:rPr>
                <w:spacing w:val="3"/>
              </w:rPr>
            </w:pPr>
            <w:r w:rsidRPr="00D06AE8">
              <w:rPr>
                <w:spacing w:val="3"/>
              </w:rPr>
              <w:t>Norēķinu rekvizīti:</w:t>
            </w:r>
          </w:p>
          <w:p w:rsidR="005B2BDC" w:rsidRPr="00D06AE8" w:rsidRDefault="005B2BDC" w:rsidP="005B2BDC">
            <w:pPr>
              <w:shd w:val="clear" w:color="auto" w:fill="FFFFFF"/>
              <w:rPr>
                <w:spacing w:val="3"/>
              </w:rPr>
            </w:pPr>
            <w:r w:rsidRPr="00D06AE8">
              <w:rPr>
                <w:spacing w:val="3"/>
              </w:rPr>
              <w:t>Banka: Valsts kase</w:t>
            </w:r>
          </w:p>
          <w:p w:rsidR="005B2BDC" w:rsidRPr="00D06AE8" w:rsidRDefault="005B2BDC" w:rsidP="005B2BDC">
            <w:pPr>
              <w:shd w:val="clear" w:color="auto" w:fill="FFFFFF"/>
              <w:rPr>
                <w:spacing w:val="3"/>
              </w:rPr>
            </w:pPr>
            <w:r w:rsidRPr="00D06AE8">
              <w:rPr>
                <w:spacing w:val="3"/>
              </w:rPr>
              <w:t xml:space="preserve">Kods: </w:t>
            </w:r>
            <w:r w:rsidRPr="00D06AE8">
              <w:t>TRELLV21</w:t>
            </w:r>
          </w:p>
          <w:p w:rsidR="00021674" w:rsidRPr="00D06AE8" w:rsidRDefault="00021674" w:rsidP="00E01D5B">
            <w:pPr>
              <w:shd w:val="clear" w:color="auto" w:fill="FFFFFF"/>
              <w:rPr>
                <w:spacing w:val="3"/>
              </w:rPr>
            </w:pPr>
            <w:r w:rsidRPr="00D06AE8">
              <w:rPr>
                <w:spacing w:val="3"/>
              </w:rPr>
              <w:t xml:space="preserve">Konts: </w:t>
            </w:r>
            <w:r w:rsidRPr="00D06AE8">
              <w:t>LV14TREL2250675001000</w:t>
            </w:r>
            <w:r w:rsidRPr="00D06AE8">
              <w:rPr>
                <w:spacing w:val="3"/>
              </w:rPr>
              <w:t xml:space="preserve"> </w:t>
            </w:r>
          </w:p>
          <w:p w:rsidR="00021674" w:rsidRPr="00D06AE8" w:rsidRDefault="00021674" w:rsidP="005B2BDC">
            <w:pPr>
              <w:shd w:val="clear" w:color="auto" w:fill="FFFFFF"/>
            </w:pPr>
          </w:p>
        </w:tc>
        <w:tc>
          <w:tcPr>
            <w:tcW w:w="4531" w:type="dxa"/>
            <w:shd w:val="clear" w:color="auto" w:fill="auto"/>
            <w:hideMark/>
          </w:tcPr>
          <w:p w:rsidR="00DA29F0" w:rsidRPr="00D06AE8" w:rsidRDefault="00DA29F0" w:rsidP="00DA29F0">
            <w:pPr>
              <w:tabs>
                <w:tab w:val="center" w:pos="9356"/>
              </w:tabs>
              <w:jc w:val="both"/>
              <w:rPr>
                <w:b/>
                <w:spacing w:val="3"/>
              </w:rPr>
            </w:pPr>
            <w:r w:rsidRPr="00D06AE8">
              <w:rPr>
                <w:b/>
                <w:spacing w:val="3"/>
              </w:rPr>
              <w:t xml:space="preserve">Compensa Life Vienna Insurance </w:t>
            </w:r>
          </w:p>
          <w:p w:rsidR="00021674" w:rsidRPr="00D06AE8" w:rsidRDefault="00DA29F0" w:rsidP="00DA29F0">
            <w:pPr>
              <w:shd w:val="clear" w:color="auto" w:fill="FFFFFF"/>
            </w:pPr>
            <w:r w:rsidRPr="00D06AE8">
              <w:rPr>
                <w:b/>
                <w:spacing w:val="3"/>
              </w:rPr>
              <w:t>Group SE Latvijas filiāle</w:t>
            </w:r>
            <w:r w:rsidRPr="00D06AE8">
              <w:t xml:space="preserve"> </w:t>
            </w:r>
          </w:p>
          <w:p w:rsidR="00021674" w:rsidRPr="00D06AE8" w:rsidRDefault="00021674" w:rsidP="00E01D5B">
            <w:pPr>
              <w:shd w:val="clear" w:color="auto" w:fill="FFFFFF"/>
            </w:pPr>
            <w:r w:rsidRPr="00D06AE8">
              <w:t xml:space="preserve">Reģ.nr. </w:t>
            </w:r>
            <w:r w:rsidR="00DA29F0" w:rsidRPr="00D06AE8">
              <w:rPr>
                <w:noProof/>
              </w:rPr>
              <w:t>50003958651</w:t>
            </w:r>
          </w:p>
          <w:p w:rsidR="005B2BDC" w:rsidRPr="00D06AE8" w:rsidRDefault="00021674" w:rsidP="00E01D5B">
            <w:pPr>
              <w:shd w:val="clear" w:color="auto" w:fill="FFFFFF"/>
              <w:rPr>
                <w:noProof/>
              </w:rPr>
            </w:pPr>
            <w:r w:rsidRPr="00D06AE8">
              <w:t xml:space="preserve">Juridiskā adrese: </w:t>
            </w:r>
            <w:r w:rsidR="00DA29F0" w:rsidRPr="00D06AE8">
              <w:rPr>
                <w:noProof/>
              </w:rPr>
              <w:t xml:space="preserve">Vienības gatve 87h, </w:t>
            </w:r>
          </w:p>
          <w:p w:rsidR="00021674" w:rsidRPr="00D06AE8" w:rsidRDefault="00DA29F0" w:rsidP="005B2BDC">
            <w:pPr>
              <w:shd w:val="clear" w:color="auto" w:fill="FFFFFF"/>
              <w:ind w:left="1707"/>
            </w:pPr>
            <w:r w:rsidRPr="00D06AE8">
              <w:rPr>
                <w:noProof/>
              </w:rPr>
              <w:t>Rīga, LV - 1004</w:t>
            </w:r>
          </w:p>
          <w:p w:rsidR="00021674" w:rsidRPr="00D06AE8" w:rsidRDefault="00021674" w:rsidP="00E01D5B">
            <w:pPr>
              <w:shd w:val="clear" w:color="auto" w:fill="FFFFFF"/>
            </w:pPr>
            <w:r w:rsidRPr="00D06AE8">
              <w:t xml:space="preserve">E-pasts: </w:t>
            </w:r>
            <w:hyperlink r:id="rId9" w:history="1">
              <w:r w:rsidR="00FC6D2F" w:rsidRPr="00D06AE8">
                <w:rPr>
                  <w:rStyle w:val="Hyperlink"/>
                </w:rPr>
                <w:t>info@compensalife.lv</w:t>
              </w:r>
            </w:hyperlink>
            <w:r w:rsidR="00FC6D2F" w:rsidRPr="00D06AE8">
              <w:t xml:space="preserve"> </w:t>
            </w:r>
          </w:p>
          <w:p w:rsidR="005B2BDC" w:rsidRPr="00D06AE8" w:rsidRDefault="005B2BDC" w:rsidP="00E01D5B">
            <w:pPr>
              <w:shd w:val="clear" w:color="auto" w:fill="FFFFFF"/>
            </w:pPr>
          </w:p>
          <w:p w:rsidR="00021674" w:rsidRPr="00D06AE8" w:rsidRDefault="00021674" w:rsidP="00E01D5B">
            <w:pPr>
              <w:shd w:val="clear" w:color="auto" w:fill="FFFFFF"/>
            </w:pPr>
            <w:r w:rsidRPr="00D06AE8">
              <w:t>Norēķinu rekvizīti:</w:t>
            </w:r>
          </w:p>
          <w:p w:rsidR="005B2BDC" w:rsidRPr="00D06AE8" w:rsidRDefault="005B2BDC" w:rsidP="00E01D5B">
            <w:pPr>
              <w:shd w:val="clear" w:color="auto" w:fill="FFFFFF"/>
              <w:rPr>
                <w:noProof/>
              </w:rPr>
            </w:pPr>
            <w:r w:rsidRPr="00D06AE8">
              <w:t xml:space="preserve">Banka: </w:t>
            </w:r>
            <w:r w:rsidRPr="00D06AE8">
              <w:rPr>
                <w:noProof/>
              </w:rPr>
              <w:t>A/S “Swedbank”</w:t>
            </w:r>
          </w:p>
          <w:p w:rsidR="005B2BDC" w:rsidRPr="00D06AE8" w:rsidRDefault="005B2BDC" w:rsidP="00E01D5B">
            <w:pPr>
              <w:shd w:val="clear" w:color="auto" w:fill="FFFFFF"/>
              <w:rPr>
                <w:noProof/>
              </w:rPr>
            </w:pPr>
            <w:r w:rsidRPr="00D06AE8">
              <w:rPr>
                <w:noProof/>
              </w:rPr>
              <w:t>Kods: HABALV22</w:t>
            </w:r>
          </w:p>
          <w:p w:rsidR="00021674" w:rsidRPr="00D06AE8" w:rsidRDefault="00021674" w:rsidP="005B2BDC">
            <w:pPr>
              <w:shd w:val="clear" w:color="auto" w:fill="FFFFFF"/>
            </w:pPr>
            <w:r w:rsidRPr="00D06AE8">
              <w:t>Kont</w:t>
            </w:r>
            <w:r w:rsidR="005B2BDC" w:rsidRPr="00D06AE8">
              <w:t>s:</w:t>
            </w:r>
            <w:r w:rsidRPr="00D06AE8">
              <w:t xml:space="preserve"> </w:t>
            </w:r>
            <w:r w:rsidR="005B2BDC" w:rsidRPr="00D06AE8">
              <w:rPr>
                <w:noProof/>
              </w:rPr>
              <w:t>LV77HABA0001403052234</w:t>
            </w:r>
          </w:p>
        </w:tc>
      </w:tr>
      <w:tr w:rsidR="00021674" w:rsidRPr="00FC6D2F" w:rsidTr="00E01D5B">
        <w:tc>
          <w:tcPr>
            <w:tcW w:w="4530" w:type="dxa"/>
            <w:shd w:val="clear" w:color="auto" w:fill="auto"/>
          </w:tcPr>
          <w:p w:rsidR="00021674" w:rsidRPr="00D06AE8" w:rsidRDefault="00021674" w:rsidP="00E01D5B">
            <w:pPr>
              <w:shd w:val="clear" w:color="auto" w:fill="FFFFFF"/>
              <w:jc w:val="both"/>
              <w:rPr>
                <w:spacing w:val="3"/>
              </w:rPr>
            </w:pPr>
            <w:r w:rsidRPr="00D06AE8">
              <w:rPr>
                <w:spacing w:val="3"/>
              </w:rPr>
              <w:t>_________________________</w:t>
            </w:r>
          </w:p>
          <w:p w:rsidR="00021674" w:rsidRPr="00D06AE8" w:rsidRDefault="00021674" w:rsidP="00E01D5B">
            <w:pPr>
              <w:shd w:val="clear" w:color="auto" w:fill="FFFFFF"/>
              <w:jc w:val="both"/>
              <w:rPr>
                <w:spacing w:val="3"/>
              </w:rPr>
            </w:pPr>
            <w:r w:rsidRPr="00D06AE8">
              <w:rPr>
                <w:spacing w:val="3"/>
              </w:rPr>
              <w:t>/P.Vilks/</w:t>
            </w:r>
          </w:p>
          <w:p w:rsidR="00021674" w:rsidRPr="00D06AE8" w:rsidRDefault="00021674" w:rsidP="00E01D5B">
            <w:pPr>
              <w:shd w:val="clear" w:color="auto" w:fill="FFFFFF"/>
            </w:pPr>
            <w:r w:rsidRPr="00D06AE8">
              <w:rPr>
                <w:spacing w:val="3"/>
              </w:rPr>
              <w:t>Z.v.</w:t>
            </w:r>
          </w:p>
        </w:tc>
        <w:tc>
          <w:tcPr>
            <w:tcW w:w="4531" w:type="dxa"/>
            <w:shd w:val="clear" w:color="auto" w:fill="auto"/>
          </w:tcPr>
          <w:p w:rsidR="00021674" w:rsidRPr="00D06AE8" w:rsidRDefault="00021674" w:rsidP="00E01D5B">
            <w:pPr>
              <w:shd w:val="clear" w:color="auto" w:fill="FFFFFF"/>
            </w:pPr>
            <w:r w:rsidRPr="00D06AE8">
              <w:t>________________________</w:t>
            </w:r>
          </w:p>
          <w:p w:rsidR="00021674" w:rsidRPr="00D06AE8" w:rsidRDefault="00FC6D2F" w:rsidP="00E01D5B">
            <w:pPr>
              <w:shd w:val="clear" w:color="auto" w:fill="FFFFFF"/>
            </w:pPr>
            <w:r w:rsidRPr="00D06AE8">
              <w:t>/V.Gustsons</w:t>
            </w:r>
            <w:r w:rsidR="00021674" w:rsidRPr="00D06AE8">
              <w:t>/</w:t>
            </w:r>
          </w:p>
          <w:p w:rsidR="00021674" w:rsidRPr="00FC6D2F" w:rsidRDefault="00021674" w:rsidP="00E01D5B">
            <w:pPr>
              <w:shd w:val="clear" w:color="auto" w:fill="FFFFFF"/>
            </w:pPr>
            <w:r w:rsidRPr="00D06AE8">
              <w:t>Z.v.</w:t>
            </w:r>
          </w:p>
        </w:tc>
      </w:tr>
    </w:tbl>
    <w:p w:rsidR="00021674" w:rsidRPr="00FC6D2F" w:rsidRDefault="00021674" w:rsidP="00021674">
      <w:pPr>
        <w:shd w:val="clear" w:color="auto" w:fill="FFFFFF"/>
      </w:pPr>
    </w:p>
    <w:p w:rsidR="00DA29F0" w:rsidRPr="00FC6D2F" w:rsidRDefault="00DA29F0"/>
    <w:sectPr w:rsidR="00DA29F0" w:rsidRPr="00FC6D2F" w:rsidSect="00E66C9E">
      <w:pgSz w:w="11906" w:h="16838"/>
      <w:pgMar w:top="1440" w:right="1418" w:bottom="1440" w:left="1440"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decimal"/>
      <w:pStyle w:val="Nolikums1"/>
      <w:lvlText w:val="%1."/>
      <w:lvlJc w:val="left"/>
      <w:pPr>
        <w:tabs>
          <w:tab w:val="num" w:pos="360"/>
        </w:tabs>
        <w:ind w:left="360" w:hanging="360"/>
      </w:pPr>
      <w:rPr>
        <w:rFonts w:cs="Times New Roman"/>
      </w:rPr>
    </w:lvl>
    <w:lvl w:ilvl="1">
      <w:start w:val="3"/>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 w15:restartNumberingAfterBreak="0">
    <w:nsid w:val="00000005"/>
    <w:multiLevelType w:val="multilevel"/>
    <w:tmpl w:val="0426001F"/>
    <w:lvl w:ilvl="0">
      <w:start w:val="1"/>
      <w:numFmt w:val="decimal"/>
      <w:lvlText w:val="%1."/>
      <w:lvlJc w:val="left"/>
      <w:pPr>
        <w:ind w:left="360" w:hanging="360"/>
      </w:pPr>
      <w:rPr>
        <w:rFonts w:hint="default"/>
        <w:b/>
        <w:bCs w:val="0"/>
      </w:rPr>
    </w:lvl>
    <w:lvl w:ilvl="1">
      <w:start w:val="1"/>
      <w:numFmt w:val="decimal"/>
      <w:lvlText w:val="%1.%2."/>
      <w:lvlJc w:val="left"/>
      <w:pPr>
        <w:ind w:left="792" w:hanging="432"/>
      </w:pPr>
      <w:rPr>
        <w:rFonts w:hint="default"/>
        <w:i w:val="0"/>
        <w:iCs w:val="0"/>
      </w:rPr>
    </w:lvl>
    <w:lvl w:ilvl="2">
      <w:start w:val="1"/>
      <w:numFmt w:val="decimal"/>
      <w:lvlText w:val="%1.%2.%3."/>
      <w:lvlJc w:val="left"/>
      <w:pPr>
        <w:ind w:left="1224" w:hanging="504"/>
      </w:pPr>
      <w:rPr>
        <w:rFonts w:hint="default"/>
        <w:i w:val="0"/>
        <w:sz w:val="24"/>
        <w:szCs w:val="24"/>
      </w:rPr>
    </w:lvl>
    <w:lvl w:ilvl="3">
      <w:start w:val="1"/>
      <w:numFmt w:val="decimal"/>
      <w:lvlText w:val="%1.%2.%3.%4."/>
      <w:lvlJc w:val="left"/>
      <w:pPr>
        <w:ind w:left="1728" w:hanging="648"/>
      </w:pPr>
      <w:rPr>
        <w:rFonts w:hint="default"/>
        <w:b w:val="0"/>
        <w:bCs w:val="0"/>
        <w:i w:val="0"/>
        <w:iCs w:val="0"/>
        <w:caps w:val="0"/>
        <w:smallCaps w:val="0"/>
        <w:strike w:val="0"/>
        <w:dstrike w:val="0"/>
        <w:vanish w:val="0"/>
        <w:color w:val="auto"/>
        <w:spacing w:val="0"/>
        <w:w w:val="10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674"/>
    <w:rsid w:val="00021674"/>
    <w:rsid w:val="000228A5"/>
    <w:rsid w:val="0005300D"/>
    <w:rsid w:val="000624FD"/>
    <w:rsid w:val="000705A3"/>
    <w:rsid w:val="000942AA"/>
    <w:rsid w:val="000B7DEC"/>
    <w:rsid w:val="001044C9"/>
    <w:rsid w:val="0011103D"/>
    <w:rsid w:val="00120703"/>
    <w:rsid w:val="00171D60"/>
    <w:rsid w:val="00180907"/>
    <w:rsid w:val="0018631B"/>
    <w:rsid w:val="001913DD"/>
    <w:rsid w:val="001B24C0"/>
    <w:rsid w:val="001B3D42"/>
    <w:rsid w:val="001B44A9"/>
    <w:rsid w:val="001E0F3F"/>
    <w:rsid w:val="001E16FF"/>
    <w:rsid w:val="001F4AC4"/>
    <w:rsid w:val="0024204D"/>
    <w:rsid w:val="002632B8"/>
    <w:rsid w:val="002662EA"/>
    <w:rsid w:val="00267CE0"/>
    <w:rsid w:val="002939F1"/>
    <w:rsid w:val="002B5149"/>
    <w:rsid w:val="002C15C6"/>
    <w:rsid w:val="002E7F02"/>
    <w:rsid w:val="002F2835"/>
    <w:rsid w:val="002F420B"/>
    <w:rsid w:val="002F6BC6"/>
    <w:rsid w:val="00322182"/>
    <w:rsid w:val="00324E15"/>
    <w:rsid w:val="003311A9"/>
    <w:rsid w:val="00365F85"/>
    <w:rsid w:val="00367B38"/>
    <w:rsid w:val="00380953"/>
    <w:rsid w:val="00386AA0"/>
    <w:rsid w:val="003E5FAF"/>
    <w:rsid w:val="00400FD6"/>
    <w:rsid w:val="0044352B"/>
    <w:rsid w:val="0045199A"/>
    <w:rsid w:val="00463A68"/>
    <w:rsid w:val="004678B5"/>
    <w:rsid w:val="00471B50"/>
    <w:rsid w:val="00476A75"/>
    <w:rsid w:val="00493321"/>
    <w:rsid w:val="004A7EB4"/>
    <w:rsid w:val="004C318A"/>
    <w:rsid w:val="004C6DBB"/>
    <w:rsid w:val="004D2FA1"/>
    <w:rsid w:val="004F0EE7"/>
    <w:rsid w:val="004F5941"/>
    <w:rsid w:val="00500EA0"/>
    <w:rsid w:val="00515A71"/>
    <w:rsid w:val="00520833"/>
    <w:rsid w:val="0052698D"/>
    <w:rsid w:val="005459F1"/>
    <w:rsid w:val="00547DA0"/>
    <w:rsid w:val="00550DCE"/>
    <w:rsid w:val="0055123C"/>
    <w:rsid w:val="0058475A"/>
    <w:rsid w:val="00594296"/>
    <w:rsid w:val="005B2BDC"/>
    <w:rsid w:val="005F7BC3"/>
    <w:rsid w:val="006338E7"/>
    <w:rsid w:val="00637363"/>
    <w:rsid w:val="00642646"/>
    <w:rsid w:val="00671FD9"/>
    <w:rsid w:val="00675428"/>
    <w:rsid w:val="006839FB"/>
    <w:rsid w:val="006A4DD4"/>
    <w:rsid w:val="006D671E"/>
    <w:rsid w:val="006F6157"/>
    <w:rsid w:val="00755AA4"/>
    <w:rsid w:val="007571DE"/>
    <w:rsid w:val="007602F2"/>
    <w:rsid w:val="00761E75"/>
    <w:rsid w:val="007760B6"/>
    <w:rsid w:val="007907C6"/>
    <w:rsid w:val="00792C37"/>
    <w:rsid w:val="00793F1A"/>
    <w:rsid w:val="007C1437"/>
    <w:rsid w:val="007C2C10"/>
    <w:rsid w:val="007D2D2B"/>
    <w:rsid w:val="007E7BE7"/>
    <w:rsid w:val="00802692"/>
    <w:rsid w:val="008062F5"/>
    <w:rsid w:val="00825093"/>
    <w:rsid w:val="008626B8"/>
    <w:rsid w:val="008B25CB"/>
    <w:rsid w:val="008B3C2B"/>
    <w:rsid w:val="008C2085"/>
    <w:rsid w:val="008D1173"/>
    <w:rsid w:val="008E35BD"/>
    <w:rsid w:val="00903439"/>
    <w:rsid w:val="00911353"/>
    <w:rsid w:val="00914A50"/>
    <w:rsid w:val="00924F08"/>
    <w:rsid w:val="00932E3C"/>
    <w:rsid w:val="009A1ECF"/>
    <w:rsid w:val="009A2A6C"/>
    <w:rsid w:val="009B14A2"/>
    <w:rsid w:val="009B5933"/>
    <w:rsid w:val="009D0B7F"/>
    <w:rsid w:val="009D582A"/>
    <w:rsid w:val="009F265F"/>
    <w:rsid w:val="009F33E3"/>
    <w:rsid w:val="009F385E"/>
    <w:rsid w:val="00A2580D"/>
    <w:rsid w:val="00A57465"/>
    <w:rsid w:val="00A61F23"/>
    <w:rsid w:val="00A831DB"/>
    <w:rsid w:val="00AA776B"/>
    <w:rsid w:val="00AA79ED"/>
    <w:rsid w:val="00AB0428"/>
    <w:rsid w:val="00AB5CCF"/>
    <w:rsid w:val="00AC3810"/>
    <w:rsid w:val="00AD1BEE"/>
    <w:rsid w:val="00AD52F8"/>
    <w:rsid w:val="00AD59F4"/>
    <w:rsid w:val="00B0441F"/>
    <w:rsid w:val="00B14B2A"/>
    <w:rsid w:val="00B24E7C"/>
    <w:rsid w:val="00B250E2"/>
    <w:rsid w:val="00B27F9D"/>
    <w:rsid w:val="00B42208"/>
    <w:rsid w:val="00B430C1"/>
    <w:rsid w:val="00B5226F"/>
    <w:rsid w:val="00B70EDC"/>
    <w:rsid w:val="00B90C8C"/>
    <w:rsid w:val="00B97CD5"/>
    <w:rsid w:val="00BA0BF6"/>
    <w:rsid w:val="00BB2879"/>
    <w:rsid w:val="00BB3A64"/>
    <w:rsid w:val="00BD5F76"/>
    <w:rsid w:val="00BD6761"/>
    <w:rsid w:val="00BF1891"/>
    <w:rsid w:val="00C04C01"/>
    <w:rsid w:val="00C06E0E"/>
    <w:rsid w:val="00C13028"/>
    <w:rsid w:val="00C61C6E"/>
    <w:rsid w:val="00C7066B"/>
    <w:rsid w:val="00C81D6A"/>
    <w:rsid w:val="00C87C00"/>
    <w:rsid w:val="00CA79F8"/>
    <w:rsid w:val="00CD0C79"/>
    <w:rsid w:val="00CE2803"/>
    <w:rsid w:val="00D06AE8"/>
    <w:rsid w:val="00D16EA6"/>
    <w:rsid w:val="00D17BAD"/>
    <w:rsid w:val="00D310BE"/>
    <w:rsid w:val="00D57D13"/>
    <w:rsid w:val="00D7066D"/>
    <w:rsid w:val="00D8222A"/>
    <w:rsid w:val="00DA29F0"/>
    <w:rsid w:val="00DA7FCD"/>
    <w:rsid w:val="00DF11A8"/>
    <w:rsid w:val="00DF2253"/>
    <w:rsid w:val="00DF4B3D"/>
    <w:rsid w:val="00E52BE1"/>
    <w:rsid w:val="00E52D7A"/>
    <w:rsid w:val="00E5790F"/>
    <w:rsid w:val="00E63297"/>
    <w:rsid w:val="00E64D29"/>
    <w:rsid w:val="00EF2050"/>
    <w:rsid w:val="00F16868"/>
    <w:rsid w:val="00F37F60"/>
    <w:rsid w:val="00F40F0D"/>
    <w:rsid w:val="00F522D5"/>
    <w:rsid w:val="00F537D2"/>
    <w:rsid w:val="00F57BD2"/>
    <w:rsid w:val="00F64B6C"/>
    <w:rsid w:val="00F7340B"/>
    <w:rsid w:val="00F86C77"/>
    <w:rsid w:val="00F95685"/>
    <w:rsid w:val="00FB7FB0"/>
    <w:rsid w:val="00FC1BB6"/>
    <w:rsid w:val="00FC446F"/>
    <w:rsid w:val="00FC6D2F"/>
    <w:rsid w:val="00FF16C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4BC335-D972-477D-B56F-BF13188B4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1674"/>
    <w:pPr>
      <w:spacing w:after="0" w:line="240" w:lineRule="auto"/>
    </w:pPr>
    <w:rPr>
      <w:rFonts w:ascii="Times New Roman" w:eastAsia="Times New Roman" w:hAnsi="Times New Roman" w:cs="Times New Roman"/>
      <w:sz w:val="24"/>
      <w:szCs w:val="24"/>
    </w:rPr>
  </w:style>
  <w:style w:type="paragraph" w:styleId="Heading2">
    <w:name w:val="heading 2"/>
    <w:aliases w:val="Heading 21,Antraste 2,Reset numbering,B_Kapittel,HD2"/>
    <w:basedOn w:val="Normal"/>
    <w:next w:val="Normal"/>
    <w:link w:val="Heading2Char"/>
    <w:uiPriority w:val="99"/>
    <w:qFormat/>
    <w:rsid w:val="00021674"/>
    <w:pPr>
      <w:keepNext/>
      <w:jc w:val="center"/>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eading 21 Char,Antraste 2 Char,Reset numbering Char,B_Kapittel Char,HD2 Char"/>
    <w:basedOn w:val="DefaultParagraphFont"/>
    <w:link w:val="Heading2"/>
    <w:uiPriority w:val="99"/>
    <w:rsid w:val="00021674"/>
    <w:rPr>
      <w:rFonts w:ascii="Times New Roman" w:eastAsia="Times New Roman" w:hAnsi="Times New Roman" w:cs="Times New Roman"/>
      <w:sz w:val="28"/>
      <w:szCs w:val="24"/>
    </w:rPr>
  </w:style>
  <w:style w:type="character" w:styleId="Hyperlink">
    <w:name w:val="Hyperlink"/>
    <w:uiPriority w:val="99"/>
    <w:rsid w:val="00021674"/>
    <w:rPr>
      <w:color w:val="0000FF"/>
      <w:u w:val="single"/>
    </w:rPr>
  </w:style>
  <w:style w:type="paragraph" w:styleId="BlockText">
    <w:name w:val="Block Text"/>
    <w:basedOn w:val="Normal"/>
    <w:link w:val="BlockTextChar"/>
    <w:rsid w:val="00021674"/>
    <w:pPr>
      <w:suppressAutoHyphens/>
      <w:ind w:left="113" w:right="113"/>
      <w:jc w:val="center"/>
    </w:pPr>
    <w:rPr>
      <w:b/>
      <w:bCs/>
      <w:sz w:val="20"/>
      <w:szCs w:val="20"/>
      <w:lang w:val="en-US" w:eastAsia="ar-SA"/>
    </w:rPr>
  </w:style>
  <w:style w:type="paragraph" w:customStyle="1" w:styleId="Nolikums1">
    <w:name w:val="Nolikums_1"/>
    <w:basedOn w:val="Normal"/>
    <w:rsid w:val="00021674"/>
    <w:pPr>
      <w:keepNext/>
      <w:keepLines/>
      <w:numPr>
        <w:numId w:val="1"/>
      </w:numPr>
      <w:suppressAutoHyphens/>
      <w:spacing w:before="360" w:after="80"/>
      <w:jc w:val="both"/>
    </w:pPr>
    <w:rPr>
      <w:b/>
      <w:bCs/>
      <w:sz w:val="28"/>
      <w:szCs w:val="28"/>
      <w:lang w:eastAsia="ar-SA"/>
    </w:rPr>
  </w:style>
  <w:style w:type="character" w:customStyle="1" w:styleId="BlockTextChar">
    <w:name w:val="Block Text Char"/>
    <w:link w:val="BlockText"/>
    <w:locked/>
    <w:rsid w:val="00021674"/>
    <w:rPr>
      <w:rFonts w:ascii="Times New Roman" w:eastAsia="Times New Roman" w:hAnsi="Times New Roman" w:cs="Times New Roman"/>
      <w:b/>
      <w:bCs/>
      <w:sz w:val="20"/>
      <w:szCs w:val="20"/>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3829664">
      <w:bodyDiv w:val="1"/>
      <w:marLeft w:val="0"/>
      <w:marRight w:val="0"/>
      <w:marTop w:val="0"/>
      <w:marBottom w:val="0"/>
      <w:divBdr>
        <w:top w:val="none" w:sz="0" w:space="0" w:color="auto"/>
        <w:left w:val="none" w:sz="0" w:space="0" w:color="auto"/>
        <w:bottom w:val="none" w:sz="0" w:space="0" w:color="auto"/>
        <w:right w:val="none" w:sz="0" w:space="0" w:color="auto"/>
      </w:divBdr>
    </w:div>
    <w:div w:id="1942495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kc@pkc.mk.gov.lv" TargetMode="External"/><Relationship Id="rId3" Type="http://schemas.openxmlformats.org/officeDocument/2006/relationships/styles" Target="styles.xml"/><Relationship Id="rId7" Type="http://schemas.openxmlformats.org/officeDocument/2006/relationships/hyperlink" Target="mailto:inese.babre@mk.gov.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vita.zute@compensalife.lv"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compensalife.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951837-2ED2-4697-8065-A93BB6587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10456</Words>
  <Characters>5960</Characters>
  <Application>Microsoft Office Word</Application>
  <DocSecurity>0</DocSecurity>
  <Lines>49</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Kristīne Ozoliņa</dc:creator>
  <cp:lastModifiedBy>Elina Kruzkopa</cp:lastModifiedBy>
  <cp:revision>2</cp:revision>
  <dcterms:created xsi:type="dcterms:W3CDTF">2016-06-15T11:39:00Z</dcterms:created>
  <dcterms:modified xsi:type="dcterms:W3CDTF">2016-06-15T11:39:00Z</dcterms:modified>
</cp:coreProperties>
</file>